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761987" w14:textId="1E6E067B" w:rsidR="00A35EC6" w:rsidRPr="00CE0424" w:rsidRDefault="00A35EC6" w:rsidP="00A35EC6">
      <w:pPr>
        <w:pStyle w:val="3GPPHeader"/>
        <w:spacing w:after="60"/>
        <w:rPr>
          <w:sz w:val="32"/>
          <w:szCs w:val="32"/>
          <w:highlight w:val="yellow"/>
        </w:rPr>
      </w:pPr>
      <w:bookmarkStart w:id="0" w:name="_Hlk68084178"/>
      <w:r w:rsidRPr="00CE0424">
        <w:t>3GPP TSG-RAN WG</w:t>
      </w:r>
      <w:r>
        <w:t>2</w:t>
      </w:r>
      <w:r w:rsidRPr="00CE0424">
        <w:t xml:space="preserve"> #</w:t>
      </w:r>
      <w:r>
        <w:t>113bis-e</w:t>
      </w:r>
      <w:r w:rsidRPr="00CE0424">
        <w:tab/>
      </w:r>
      <w:r w:rsidRPr="00CE0424">
        <w:rPr>
          <w:sz w:val="32"/>
          <w:szCs w:val="32"/>
        </w:rPr>
        <w:t xml:space="preserve">Tdoc </w:t>
      </w:r>
      <w:r w:rsidR="0068196E" w:rsidRPr="0068196E">
        <w:rPr>
          <w:sz w:val="32"/>
          <w:szCs w:val="32"/>
        </w:rPr>
        <w:t>R2-2103939</w:t>
      </w:r>
    </w:p>
    <w:p w14:paraId="0ABE435C" w14:textId="5E946CAD" w:rsidR="00A35EC6" w:rsidRPr="00CE0424" w:rsidRDefault="00A35EC6" w:rsidP="00A35EC6">
      <w:pPr>
        <w:pStyle w:val="3GPPHeader"/>
      </w:pPr>
      <w:r>
        <w:t>Electronic meeting, 12</w:t>
      </w:r>
      <w:r w:rsidRPr="00A35EC6">
        <w:rPr>
          <w:vertAlign w:val="superscript"/>
        </w:rPr>
        <w:t>th</w:t>
      </w:r>
      <w:r>
        <w:t xml:space="preserve"> – 20</w:t>
      </w:r>
      <w:r w:rsidRPr="00A35EC6">
        <w:rPr>
          <w:vertAlign w:val="superscript"/>
        </w:rPr>
        <w:t>th</w:t>
      </w:r>
      <w:r>
        <w:t xml:space="preserve"> April 2021</w:t>
      </w:r>
    </w:p>
    <w:bookmarkEnd w:id="0"/>
    <w:p w14:paraId="3E6673B6" w14:textId="77777777" w:rsidR="00E90E49" w:rsidRPr="00CE0424" w:rsidRDefault="00E90E49" w:rsidP="00357380">
      <w:pPr>
        <w:pStyle w:val="3GPPHeader"/>
      </w:pPr>
    </w:p>
    <w:p w14:paraId="7B71D8B7" w14:textId="230233E3" w:rsidR="00E90E49" w:rsidRPr="008D6C3D" w:rsidRDefault="00E90E49" w:rsidP="00311702">
      <w:pPr>
        <w:pStyle w:val="3GPPHeader"/>
        <w:rPr>
          <w:sz w:val="22"/>
          <w:szCs w:val="22"/>
        </w:rPr>
      </w:pPr>
      <w:r w:rsidRPr="008D6C3D">
        <w:rPr>
          <w:sz w:val="22"/>
          <w:szCs w:val="22"/>
        </w:rPr>
        <w:t>Agenda Item:</w:t>
      </w:r>
      <w:r w:rsidRPr="008D6C3D">
        <w:rPr>
          <w:sz w:val="22"/>
          <w:szCs w:val="22"/>
        </w:rPr>
        <w:tab/>
      </w:r>
      <w:r w:rsidR="000E5504">
        <w:rPr>
          <w:sz w:val="22"/>
          <w:szCs w:val="22"/>
        </w:rPr>
        <w:t>8.4.3</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31D9207B" w:rsidR="00E90E49" w:rsidRPr="00CE0424" w:rsidRDefault="003D3C45" w:rsidP="00311702">
      <w:pPr>
        <w:pStyle w:val="3GPPHeader"/>
        <w:rPr>
          <w:sz w:val="22"/>
          <w:szCs w:val="22"/>
        </w:rPr>
      </w:pPr>
      <w:r>
        <w:rPr>
          <w:sz w:val="22"/>
          <w:szCs w:val="22"/>
        </w:rPr>
        <w:t>Title:</w:t>
      </w:r>
      <w:r w:rsidR="00E90E49" w:rsidRPr="00CE0424">
        <w:rPr>
          <w:sz w:val="22"/>
          <w:szCs w:val="22"/>
        </w:rPr>
        <w:tab/>
      </w:r>
      <w:r w:rsidR="00F425C2">
        <w:rPr>
          <w:sz w:val="22"/>
          <w:szCs w:val="22"/>
        </w:rPr>
        <w:t xml:space="preserve">On </w:t>
      </w:r>
      <w:r w:rsidR="00DC2139">
        <w:rPr>
          <w:sz w:val="22"/>
          <w:szCs w:val="22"/>
        </w:rPr>
        <w:t xml:space="preserve">CHO </w:t>
      </w:r>
      <w:r w:rsidR="00F52659">
        <w:rPr>
          <w:sz w:val="22"/>
          <w:szCs w:val="22"/>
        </w:rPr>
        <w:t xml:space="preserve">and DAPS </w:t>
      </w:r>
      <w:r w:rsidR="00DC2139">
        <w:rPr>
          <w:sz w:val="22"/>
          <w:szCs w:val="22"/>
        </w:rPr>
        <w:t xml:space="preserve">for </w:t>
      </w:r>
      <w:r w:rsidR="001B44D9">
        <w:rPr>
          <w:sz w:val="22"/>
          <w:szCs w:val="22"/>
        </w:rPr>
        <w:t>IAB</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4479E">
        <w:rPr>
          <w:sz w:val="22"/>
          <w:szCs w:val="22"/>
        </w:rPr>
        <w:t>Discussion, Decision</w:t>
      </w:r>
    </w:p>
    <w:p w14:paraId="21FE979C" w14:textId="77777777" w:rsidR="00E90E49" w:rsidRPr="00CE0424" w:rsidRDefault="00E90E49" w:rsidP="00E90E49"/>
    <w:p w14:paraId="3F0B0999" w14:textId="77777777" w:rsidR="00E90E49" w:rsidRPr="00CE0424" w:rsidRDefault="00230D18" w:rsidP="00CE0424">
      <w:pPr>
        <w:pStyle w:val="Heading1"/>
      </w:pPr>
      <w:r>
        <w:t>1</w:t>
      </w:r>
      <w:r>
        <w:tab/>
      </w:r>
      <w:r w:rsidR="00E90E49" w:rsidRPr="00CE0424">
        <w:t>Introduction</w:t>
      </w:r>
    </w:p>
    <w:p w14:paraId="72107BC9" w14:textId="472EDC4E" w:rsidR="00C311AD" w:rsidRDefault="005E3FDB" w:rsidP="00130F1F">
      <w:pPr>
        <w:pStyle w:val="BodyText"/>
        <w:jc w:val="left"/>
      </w:pPr>
      <w:r>
        <w:t>During the last 3GPP RAN2</w:t>
      </w:r>
      <w:r w:rsidR="00C311AD">
        <w:t>/RAN3</w:t>
      </w:r>
      <w:r>
        <w:t xml:space="preserve"> meetings, it has been discussed the possibility to apply the conditional HO (CHO) to IAB</w:t>
      </w:r>
      <w:r w:rsidR="00C311AD">
        <w:t xml:space="preserve"> which is also the subject of the email discussion </w:t>
      </w:r>
      <w:r w:rsidR="00C311AD">
        <w:fldChar w:fldCharType="begin"/>
      </w:r>
      <w:r w:rsidR="00C311AD">
        <w:instrText xml:space="preserve"> REF _Ref174151459 \r \h </w:instrText>
      </w:r>
      <w:r w:rsidR="00C311AD">
        <w:fldChar w:fldCharType="separate"/>
      </w:r>
      <w:r w:rsidR="00A371CC">
        <w:t>[1]</w:t>
      </w:r>
      <w:r w:rsidR="00C311AD">
        <w:fldChar w:fldCharType="end"/>
      </w:r>
      <w:r>
        <w:t xml:space="preserve">. </w:t>
      </w:r>
      <w:r w:rsidR="00C311AD">
        <w:t>The following RAN2 agreements have been reached on this topic:</w:t>
      </w:r>
    </w:p>
    <w:tbl>
      <w:tblPr>
        <w:tblStyle w:val="TableGrid"/>
        <w:tblW w:w="0" w:type="auto"/>
        <w:tblLook w:val="04A0" w:firstRow="1" w:lastRow="0" w:firstColumn="1" w:lastColumn="0" w:noHBand="0" w:noVBand="1"/>
      </w:tblPr>
      <w:tblGrid>
        <w:gridCol w:w="9629"/>
      </w:tblGrid>
      <w:tr w:rsidR="00C311AD" w14:paraId="291B334B" w14:textId="77777777" w:rsidTr="00C311AD">
        <w:tc>
          <w:tcPr>
            <w:tcW w:w="9629" w:type="dxa"/>
          </w:tcPr>
          <w:p w14:paraId="05D497AE" w14:textId="77777777" w:rsidR="00C311AD" w:rsidRPr="00C311AD" w:rsidRDefault="00C311AD" w:rsidP="00130F1F">
            <w:pPr>
              <w:pStyle w:val="BodyText"/>
              <w:jc w:val="left"/>
              <w:rPr>
                <w:rFonts w:eastAsia="Times New Roman"/>
                <w:b/>
                <w:bCs/>
                <w:sz w:val="20"/>
                <w:szCs w:val="20"/>
                <w:u w:val="single"/>
                <w:lang w:val="en-GB"/>
              </w:rPr>
            </w:pPr>
            <w:r w:rsidRPr="00C311AD">
              <w:rPr>
                <w:rFonts w:eastAsia="Times New Roman"/>
                <w:b/>
                <w:bCs/>
                <w:sz w:val="20"/>
                <w:szCs w:val="20"/>
                <w:u w:val="single"/>
                <w:lang w:val="en-GB"/>
              </w:rPr>
              <w:t>From RAN2#113:</w:t>
            </w:r>
          </w:p>
          <w:p w14:paraId="13F402EF" w14:textId="77777777" w:rsidR="00C311AD" w:rsidRDefault="00C311AD" w:rsidP="00C311AD">
            <w:pPr>
              <w:pStyle w:val="Agreement"/>
              <w:tabs>
                <w:tab w:val="num" w:pos="9990"/>
              </w:tabs>
            </w:pPr>
            <w:bookmarkStart w:id="1" w:name="_Hlk67944647"/>
            <w:r>
              <w:t>RAN2 to discuss CHO and start with intra-donor CHO until RAN3 has made progress on inter-donor IAB-node migration.</w:t>
            </w:r>
          </w:p>
          <w:p w14:paraId="13213576" w14:textId="77777777" w:rsidR="00C311AD" w:rsidRDefault="00C311AD" w:rsidP="00C311AD">
            <w:pPr>
              <w:pStyle w:val="Agreement"/>
              <w:tabs>
                <w:tab w:val="num" w:pos="9990"/>
              </w:tabs>
            </w:pPr>
            <w:r>
              <w:t xml:space="preserve">R2 confirm the intention Rel-16 CHO is / can be used for IAB-MT (FFS whether any modification is needed). </w:t>
            </w:r>
          </w:p>
          <w:p w14:paraId="7C0CB0E7" w14:textId="77777777" w:rsidR="00C311AD" w:rsidRDefault="00C311AD" w:rsidP="00C311AD">
            <w:pPr>
              <w:pStyle w:val="Agreement"/>
              <w:tabs>
                <w:tab w:val="num" w:pos="9990"/>
              </w:tabs>
            </w:pPr>
            <w:r>
              <w:t>R2 assumes that Rel-16 specification is the baseline for the configuration of default route, IP address(es) and target path for intra-donor CHO.</w:t>
            </w:r>
          </w:p>
          <w:bookmarkEnd w:id="1"/>
          <w:p w14:paraId="1D06CE0B" w14:textId="099720DE" w:rsidR="00C311AD" w:rsidRDefault="00C311AD" w:rsidP="00130F1F">
            <w:pPr>
              <w:pStyle w:val="BodyText"/>
              <w:jc w:val="left"/>
            </w:pPr>
          </w:p>
        </w:tc>
      </w:tr>
    </w:tbl>
    <w:p w14:paraId="15FCA6E9" w14:textId="77777777" w:rsidR="00C311AD" w:rsidRDefault="00C311AD" w:rsidP="00130F1F">
      <w:pPr>
        <w:pStyle w:val="BodyText"/>
        <w:jc w:val="left"/>
      </w:pPr>
    </w:p>
    <w:p w14:paraId="257C08D4" w14:textId="429F3DBE" w:rsidR="00477768" w:rsidRPr="00CE0424" w:rsidRDefault="005E3FDB" w:rsidP="00130F1F">
      <w:pPr>
        <w:pStyle w:val="BodyText"/>
        <w:jc w:val="left"/>
      </w:pPr>
      <w:r>
        <w:t xml:space="preserve">In this contribution, we review the scenarios in which CHO can be used, and whether any specific IAB-specific CHO enhancement is needed to improve IAB performances. </w:t>
      </w:r>
    </w:p>
    <w:p w14:paraId="226B631E" w14:textId="4B380112" w:rsidR="004000E8" w:rsidRDefault="00230D18" w:rsidP="00CE0424">
      <w:pPr>
        <w:pStyle w:val="Heading1"/>
      </w:pPr>
      <w:bookmarkStart w:id="2" w:name="_Ref178064866"/>
      <w:r>
        <w:t>2</w:t>
      </w:r>
      <w:r>
        <w:tab/>
      </w:r>
      <w:r w:rsidR="004000E8" w:rsidRPr="00CE0424">
        <w:t>Discussion</w:t>
      </w:r>
      <w:bookmarkEnd w:id="2"/>
    </w:p>
    <w:p w14:paraId="66B8F759" w14:textId="27C187A8" w:rsidR="00F52659" w:rsidRDefault="00F52659" w:rsidP="00F52659">
      <w:pPr>
        <w:pStyle w:val="Heading2"/>
        <w:rPr>
          <w:lang w:eastAsia="zh-CN"/>
        </w:rPr>
      </w:pPr>
      <w:r>
        <w:rPr>
          <w:lang w:eastAsia="zh-CN"/>
        </w:rPr>
        <w:t>2.1 CHO for IAB</w:t>
      </w:r>
    </w:p>
    <w:p w14:paraId="7AF56778" w14:textId="1ADC229B" w:rsidR="001914B4" w:rsidRDefault="009652CC" w:rsidP="001914B4">
      <w:pPr>
        <w:rPr>
          <w:rFonts w:ascii="Arial" w:hAnsi="Arial" w:cs="Arial"/>
          <w:lang w:eastAsia="zh-CN"/>
        </w:rPr>
      </w:pPr>
      <w:r w:rsidRPr="008C0B73">
        <w:rPr>
          <w:rFonts w:ascii="Arial" w:hAnsi="Arial" w:cs="Arial"/>
          <w:lang w:eastAsia="zh-CN"/>
        </w:rPr>
        <w:t>C</w:t>
      </w:r>
      <w:r w:rsidR="008A67D9" w:rsidRPr="008C0B73">
        <w:rPr>
          <w:rFonts w:ascii="Arial" w:hAnsi="Arial" w:cs="Arial"/>
          <w:lang w:eastAsia="zh-CN"/>
        </w:rPr>
        <w:t>onditional handover</w:t>
      </w:r>
      <w:r>
        <w:rPr>
          <w:rFonts w:ascii="Arial" w:hAnsi="Arial" w:cs="Arial"/>
          <w:lang w:eastAsia="zh-CN"/>
        </w:rPr>
        <w:t xml:space="preserve"> </w:t>
      </w:r>
      <w:r w:rsidR="000E395D">
        <w:rPr>
          <w:rFonts w:ascii="Arial" w:hAnsi="Arial" w:cs="Arial"/>
          <w:lang w:eastAsia="zh-CN"/>
        </w:rPr>
        <w:t>was</w:t>
      </w:r>
      <w:r>
        <w:rPr>
          <w:rFonts w:ascii="Arial" w:hAnsi="Arial" w:cs="Arial"/>
          <w:lang w:eastAsia="zh-CN"/>
        </w:rPr>
        <w:t xml:space="preserve"> designed in Rel-16 to make </w:t>
      </w:r>
      <w:r w:rsidRPr="008C0B73">
        <w:rPr>
          <w:rFonts w:ascii="Arial" w:hAnsi="Arial" w:cs="Arial"/>
          <w:lang w:eastAsia="zh-CN"/>
        </w:rPr>
        <w:t>mobility more robust</w:t>
      </w:r>
      <w:r>
        <w:rPr>
          <w:rFonts w:ascii="Arial" w:hAnsi="Arial" w:cs="Arial"/>
          <w:lang w:eastAsia="zh-CN"/>
        </w:rPr>
        <w:t>.</w:t>
      </w:r>
      <w:r w:rsidR="006E0F70">
        <w:rPr>
          <w:rFonts w:ascii="Arial" w:hAnsi="Arial" w:cs="Arial"/>
          <w:lang w:eastAsia="zh-CN"/>
        </w:rPr>
        <w:t xml:space="preserve"> In the CHO framework,</w:t>
      </w:r>
      <w:r w:rsidR="00A3642B">
        <w:rPr>
          <w:rFonts w:ascii="Arial" w:hAnsi="Arial" w:cs="Arial"/>
          <w:lang w:eastAsia="zh-CN"/>
        </w:rPr>
        <w:t xml:space="preserve"> a UE is configured with a list of possible CHO candidate target cells, and for each of such cell with an associated event configuration, i.e. </w:t>
      </w:r>
      <w:r w:rsidR="008C0B73">
        <w:rPr>
          <w:rFonts w:ascii="Arial" w:hAnsi="Arial" w:cs="Arial"/>
          <w:lang w:eastAsia="zh-CN"/>
        </w:rPr>
        <w:t>A3/A5</w:t>
      </w:r>
      <w:r w:rsidR="00A3642B">
        <w:rPr>
          <w:rFonts w:ascii="Arial" w:hAnsi="Arial" w:cs="Arial"/>
          <w:lang w:eastAsia="zh-CN"/>
        </w:rPr>
        <w:t>.</w:t>
      </w:r>
      <w:r w:rsidR="008C0B73">
        <w:rPr>
          <w:rFonts w:ascii="Arial" w:hAnsi="Arial" w:cs="Arial"/>
          <w:lang w:eastAsia="zh-CN"/>
        </w:rPr>
        <w:t xml:space="preserve"> </w:t>
      </w:r>
      <w:r w:rsidR="00A3642B">
        <w:rPr>
          <w:rFonts w:ascii="Arial" w:hAnsi="Arial" w:cs="Arial"/>
          <w:lang w:eastAsia="zh-CN"/>
        </w:rPr>
        <w:t xml:space="preserve">When the configured HO </w:t>
      </w:r>
      <w:r w:rsidR="008C0B73">
        <w:rPr>
          <w:rFonts w:ascii="Arial" w:hAnsi="Arial" w:cs="Arial"/>
          <w:lang w:eastAsia="zh-CN"/>
        </w:rPr>
        <w:t>even</w:t>
      </w:r>
      <w:r w:rsidR="00A3642B">
        <w:rPr>
          <w:rFonts w:ascii="Arial" w:hAnsi="Arial" w:cs="Arial"/>
          <w:lang w:eastAsia="zh-CN"/>
        </w:rPr>
        <w:t>t</w:t>
      </w:r>
      <w:r w:rsidR="008C0B73">
        <w:rPr>
          <w:rFonts w:ascii="Arial" w:hAnsi="Arial" w:cs="Arial"/>
          <w:lang w:eastAsia="zh-CN"/>
        </w:rPr>
        <w:t xml:space="preserve"> is triggered at the UE, </w:t>
      </w:r>
      <w:r w:rsidR="00A3642B">
        <w:rPr>
          <w:rFonts w:ascii="Arial" w:hAnsi="Arial" w:cs="Arial"/>
          <w:lang w:eastAsia="zh-CN"/>
        </w:rPr>
        <w:t>the UE perform</w:t>
      </w:r>
      <w:r w:rsidR="00950335">
        <w:rPr>
          <w:rFonts w:ascii="Arial" w:hAnsi="Arial" w:cs="Arial"/>
          <w:lang w:eastAsia="zh-CN"/>
        </w:rPr>
        <w:t>s</w:t>
      </w:r>
      <w:r w:rsidR="00A3642B">
        <w:rPr>
          <w:rFonts w:ascii="Arial" w:hAnsi="Arial" w:cs="Arial"/>
          <w:lang w:eastAsia="zh-CN"/>
        </w:rPr>
        <w:t xml:space="preserve"> an HO to the corresponding candidate target cell, i.e. it transmits an RRCReconfigurationComplete message to the target cell.</w:t>
      </w:r>
      <w:r w:rsidR="001914B4">
        <w:rPr>
          <w:rFonts w:ascii="Arial" w:hAnsi="Arial" w:cs="Arial"/>
          <w:lang w:eastAsia="zh-CN"/>
        </w:rPr>
        <w:t xml:space="preserve"> Similarly, in case of RLF, if the UE selects for reestablishment a candidate target cell (as a result of the cell selection procedure upon RLF), then the UE just t</w:t>
      </w:r>
      <w:r w:rsidR="008C0B73">
        <w:rPr>
          <w:rFonts w:ascii="Arial" w:hAnsi="Arial" w:cs="Arial"/>
          <w:lang w:eastAsia="zh-CN"/>
        </w:rPr>
        <w:t>ransmit</w:t>
      </w:r>
      <w:r w:rsidR="001914B4">
        <w:rPr>
          <w:rFonts w:ascii="Arial" w:hAnsi="Arial" w:cs="Arial"/>
          <w:lang w:eastAsia="zh-CN"/>
        </w:rPr>
        <w:t>s</w:t>
      </w:r>
      <w:r w:rsidR="008C0B73">
        <w:rPr>
          <w:rFonts w:ascii="Arial" w:hAnsi="Arial" w:cs="Arial"/>
          <w:lang w:eastAsia="zh-CN"/>
        </w:rPr>
        <w:t xml:space="preserve"> the RRCReconfigurationComplete message to </w:t>
      </w:r>
      <w:r w:rsidR="001914B4">
        <w:rPr>
          <w:rFonts w:ascii="Arial" w:hAnsi="Arial" w:cs="Arial"/>
          <w:lang w:eastAsia="zh-CN"/>
        </w:rPr>
        <w:t>such</w:t>
      </w:r>
      <w:r w:rsidR="008C0B73">
        <w:rPr>
          <w:rFonts w:ascii="Arial" w:hAnsi="Arial" w:cs="Arial"/>
          <w:lang w:eastAsia="zh-CN"/>
        </w:rPr>
        <w:t xml:space="preserve"> target cell, as it would do for a normal HO. </w:t>
      </w:r>
    </w:p>
    <w:p w14:paraId="149BE133" w14:textId="773943B5" w:rsidR="006B177F" w:rsidRDefault="001914B4" w:rsidP="006B177F">
      <w:pPr>
        <w:rPr>
          <w:rFonts w:ascii="Arial" w:hAnsi="Arial" w:cs="Arial"/>
        </w:rPr>
      </w:pPr>
      <w:r>
        <w:rPr>
          <w:rFonts w:ascii="Arial" w:hAnsi="Arial" w:cs="Arial"/>
          <w:lang w:eastAsia="zh-CN"/>
        </w:rPr>
        <w:t>It was discussed in the past RAN2 meetings whether the above procedure can be applied to IAB. One issue is that the CHO</w:t>
      </w:r>
      <w:r w:rsidR="008C0B73">
        <w:rPr>
          <w:rFonts w:ascii="Arial" w:hAnsi="Arial" w:cs="Arial"/>
          <w:lang w:eastAsia="zh-CN"/>
        </w:rPr>
        <w:t xml:space="preserve"> procedure assumes that the source cell prepares one or more target cells for the incoming handover, so that the target cells can perform admission control for the incoming UE and reserve radio resources for it. </w:t>
      </w:r>
      <w:r>
        <w:rPr>
          <w:rFonts w:ascii="Arial" w:hAnsi="Arial" w:cs="Arial"/>
          <w:lang w:eastAsia="zh-CN"/>
        </w:rPr>
        <w:t xml:space="preserve">This might be a challenge in the case of IAB. In fact, </w:t>
      </w:r>
      <w:r w:rsidR="008C0B73">
        <w:rPr>
          <w:rFonts w:ascii="Arial" w:hAnsi="Arial" w:cs="Arial"/>
        </w:rPr>
        <w:t xml:space="preserve">IAB nodes are not moving, </w:t>
      </w:r>
      <w:r>
        <w:rPr>
          <w:rFonts w:ascii="Arial" w:hAnsi="Arial" w:cs="Arial"/>
        </w:rPr>
        <w:t xml:space="preserve">and </w:t>
      </w:r>
      <w:r w:rsidR="008C0B73">
        <w:rPr>
          <w:rFonts w:ascii="Arial" w:hAnsi="Arial" w:cs="Arial"/>
        </w:rPr>
        <w:t xml:space="preserve">it is certainly not reasonable for a </w:t>
      </w:r>
      <w:r>
        <w:rPr>
          <w:rFonts w:ascii="Arial" w:hAnsi="Arial" w:cs="Arial"/>
        </w:rPr>
        <w:t>target</w:t>
      </w:r>
      <w:r w:rsidR="008C0B73">
        <w:rPr>
          <w:rFonts w:ascii="Arial" w:hAnsi="Arial" w:cs="Arial"/>
        </w:rPr>
        <w:t xml:space="preserve"> CU to </w:t>
      </w:r>
      <w:r>
        <w:rPr>
          <w:rFonts w:ascii="Arial" w:hAnsi="Arial" w:cs="Arial"/>
        </w:rPr>
        <w:t>reserve resources</w:t>
      </w:r>
      <w:r w:rsidR="008C0B73">
        <w:rPr>
          <w:rFonts w:ascii="Arial" w:hAnsi="Arial" w:cs="Arial"/>
        </w:rPr>
        <w:t xml:space="preserve"> for an undefined amount of time, just for the sake of an RLF that in this type of network will likely occur very rarely. </w:t>
      </w:r>
    </w:p>
    <w:p w14:paraId="72AF08DB" w14:textId="0E63D1EC" w:rsidR="00D243ED" w:rsidRDefault="006B177F" w:rsidP="00D243ED">
      <w:pPr>
        <w:rPr>
          <w:rFonts w:ascii="Arial" w:hAnsi="Arial" w:cs="Arial"/>
          <w:lang w:eastAsia="zh-CN"/>
        </w:rPr>
      </w:pPr>
      <w:r>
        <w:rPr>
          <w:rFonts w:ascii="Arial" w:hAnsi="Arial" w:cs="Arial"/>
        </w:rPr>
        <w:lastRenderedPageBreak/>
        <w:t>However, that said, Rel-16 does not preclude the usage of CHO for IAB. In particular, assuming that a CHO configuration is provided to an IAB node, such IAB node may trigger a CHO upon RLF declared in a link towards a parent node, or upon reception of BH RLF indication from the parent node</w:t>
      </w:r>
      <w:r w:rsidR="009D2886">
        <w:rPr>
          <w:rFonts w:ascii="Arial" w:hAnsi="Arial" w:cs="Arial"/>
        </w:rPr>
        <w:t>, or obviously in case the IAB node is configured with A3/A5 events</w:t>
      </w:r>
      <w:r>
        <w:rPr>
          <w:rFonts w:ascii="Arial" w:hAnsi="Arial" w:cs="Arial"/>
        </w:rPr>
        <w:t xml:space="preserve">. Therefore, it seems that Rel-16 already gives the possibility to an IAB node to apply a CHO configuration. </w:t>
      </w:r>
      <w:r w:rsidR="00D243ED">
        <w:rPr>
          <w:rFonts w:ascii="Arial" w:hAnsi="Arial" w:cs="Arial"/>
        </w:rPr>
        <w:t xml:space="preserve">In particular, </w:t>
      </w:r>
      <w:r w:rsidR="00D243ED">
        <w:rPr>
          <w:rFonts w:ascii="Arial" w:hAnsi="Arial" w:cs="Arial"/>
          <w:lang w:eastAsia="zh-CN"/>
        </w:rPr>
        <w:t xml:space="preserve">in Rel-16, RAN2 agreed that it would not restrict the combination of IAB with other Rel-15/16 features; this means that, from a RAN2 point of view, CHO could potentially be used. </w:t>
      </w:r>
    </w:p>
    <w:p w14:paraId="6E62F592" w14:textId="3A4C04EB" w:rsidR="004B3644" w:rsidRDefault="004B3644" w:rsidP="004B3644">
      <w:pPr>
        <w:pStyle w:val="Observation"/>
        <w:numPr>
          <w:ilvl w:val="0"/>
          <w:numId w:val="24"/>
        </w:numPr>
        <w:ind w:left="1701" w:hanging="1701"/>
        <w:textAlignment w:val="auto"/>
      </w:pPr>
      <w:bookmarkStart w:id="3" w:name="_Toc54276132"/>
      <w:bookmarkStart w:id="4" w:name="_Toc68205379"/>
      <w:r>
        <w:t>Rel-16 does not prevent the usage of CHO for IAB. An IAB node can be configured with CHO, and such IAB node can apply the CHO configuration upon declaring RLF for the link with the parent node, or upon receiving BH RLF recovery failure from the parent node or upon being configured with A3/A5 event.</w:t>
      </w:r>
      <w:bookmarkEnd w:id="3"/>
      <w:bookmarkEnd w:id="4"/>
    </w:p>
    <w:p w14:paraId="11658656" w14:textId="391A9DBA" w:rsidR="00523A0A" w:rsidRDefault="00523A0A" w:rsidP="00523A0A">
      <w:pPr>
        <w:rPr>
          <w:rFonts w:ascii="Arial" w:hAnsi="Arial" w:cs="Arial"/>
          <w:lang w:eastAsia="zh-CN"/>
        </w:rPr>
      </w:pPr>
      <w:r w:rsidRPr="00E03022">
        <w:rPr>
          <w:rFonts w:ascii="Arial" w:hAnsi="Arial" w:cs="Arial"/>
          <w:lang w:eastAsia="zh-CN"/>
        </w:rPr>
        <w:t>I</w:t>
      </w:r>
      <w:r w:rsidR="00E03022" w:rsidRPr="00E03022">
        <w:rPr>
          <w:rFonts w:ascii="Arial" w:hAnsi="Arial" w:cs="Arial"/>
          <w:lang w:eastAsia="zh-CN"/>
        </w:rPr>
        <w:t xml:space="preserve">n the email discussion </w:t>
      </w:r>
      <w:r w:rsidR="00E03022" w:rsidRPr="00E03022">
        <w:rPr>
          <w:rFonts w:ascii="Arial" w:hAnsi="Arial" w:cs="Arial"/>
          <w:lang w:eastAsia="zh-CN"/>
        </w:rPr>
        <w:fldChar w:fldCharType="begin"/>
      </w:r>
      <w:r w:rsidR="00E03022" w:rsidRPr="00E03022">
        <w:rPr>
          <w:rFonts w:ascii="Arial" w:hAnsi="Arial" w:cs="Arial"/>
          <w:lang w:eastAsia="zh-CN"/>
        </w:rPr>
        <w:instrText xml:space="preserve"> REF _Ref67946754 \r \h </w:instrText>
      </w:r>
      <w:r w:rsidR="00E03022">
        <w:rPr>
          <w:rFonts w:ascii="Arial" w:hAnsi="Arial" w:cs="Arial"/>
          <w:lang w:eastAsia="zh-CN"/>
        </w:rPr>
        <w:instrText xml:space="preserve"> \* MERGEFORMAT </w:instrText>
      </w:r>
      <w:r w:rsidR="00E03022" w:rsidRPr="00E03022">
        <w:rPr>
          <w:rFonts w:ascii="Arial" w:hAnsi="Arial" w:cs="Arial"/>
          <w:lang w:eastAsia="zh-CN"/>
        </w:rPr>
      </w:r>
      <w:r w:rsidR="00E03022" w:rsidRPr="00E03022">
        <w:rPr>
          <w:rFonts w:ascii="Arial" w:hAnsi="Arial" w:cs="Arial"/>
          <w:lang w:eastAsia="zh-CN"/>
        </w:rPr>
        <w:fldChar w:fldCharType="separate"/>
      </w:r>
      <w:r w:rsidR="00A371CC">
        <w:rPr>
          <w:rFonts w:ascii="Arial" w:hAnsi="Arial" w:cs="Arial"/>
          <w:lang w:eastAsia="zh-CN"/>
        </w:rPr>
        <w:t>[1]</w:t>
      </w:r>
      <w:r w:rsidR="00E03022" w:rsidRPr="00E03022">
        <w:rPr>
          <w:rFonts w:ascii="Arial" w:hAnsi="Arial" w:cs="Arial"/>
          <w:lang w:eastAsia="zh-CN"/>
        </w:rPr>
        <w:fldChar w:fldCharType="end"/>
      </w:r>
      <w:r w:rsidR="00E03022" w:rsidRPr="00E03022">
        <w:rPr>
          <w:rFonts w:ascii="Arial" w:hAnsi="Arial" w:cs="Arial"/>
          <w:lang w:eastAsia="zh-CN"/>
        </w:rPr>
        <w:t xml:space="preserve">, more IAB-specific enhancements to CHO were considered. For example, it was mentioned to allow an IAB node to perform a CHO when receiving a type-2 RLF from the source. We do not believe that this would bring benefits to the IAB network. In fact, an IAB node migration comes with a significant cost in terms of signalling overhead over the Uu and the Xn, service interruptions, and reconfigurations to all the ancestor and descendant nodes in the target CU. Given that </w:t>
      </w:r>
      <w:r w:rsidR="00BD3699">
        <w:rPr>
          <w:rFonts w:ascii="Arial" w:hAnsi="Arial" w:cs="Arial"/>
          <w:lang w:eastAsia="zh-CN"/>
        </w:rPr>
        <w:t xml:space="preserve">the </w:t>
      </w:r>
      <w:r w:rsidR="00E03022" w:rsidRPr="00E03022">
        <w:rPr>
          <w:rFonts w:ascii="Arial" w:hAnsi="Arial" w:cs="Arial"/>
          <w:lang w:eastAsia="zh-CN"/>
        </w:rPr>
        <w:t>type-2 RLF may be followed by a type-3 RLF, i.e. parent node reestablished the Uu connection with the donor, migration upon type-2 RLF reception should be avoided to prevent suboptimal and unnecessary topology change</w:t>
      </w:r>
      <w:r w:rsidR="00E03022">
        <w:rPr>
          <w:rFonts w:ascii="Arial" w:hAnsi="Arial" w:cs="Arial"/>
          <w:lang w:eastAsia="zh-CN"/>
        </w:rPr>
        <w:t>.</w:t>
      </w:r>
      <w:r w:rsidR="00E03022" w:rsidRPr="00E03022">
        <w:rPr>
          <w:rFonts w:ascii="Arial" w:hAnsi="Arial" w:cs="Arial"/>
          <w:lang w:eastAsia="zh-CN"/>
        </w:rPr>
        <w:t xml:space="preserve"> Type-2 RLF should be mainly used by the IAB node implementation to prepare for a possible RLF recovery failure, e.g. to start evaluating possible target cells, but not to trigger an immediate topology change.</w:t>
      </w:r>
    </w:p>
    <w:p w14:paraId="5D1F25C8" w14:textId="28136931" w:rsidR="00514529" w:rsidRDefault="00514529" w:rsidP="00523A0A">
      <w:pPr>
        <w:rPr>
          <w:rFonts w:ascii="Arial" w:hAnsi="Arial" w:cs="Arial"/>
          <w:lang w:eastAsia="zh-CN"/>
        </w:rPr>
      </w:pPr>
      <w:r>
        <w:rPr>
          <w:rFonts w:ascii="Arial" w:hAnsi="Arial" w:cs="Arial"/>
          <w:lang w:eastAsia="zh-CN"/>
        </w:rPr>
        <w:t>Similarly, the introduction of a new A4 event does not seem to be justified in the IAB context.</w:t>
      </w:r>
    </w:p>
    <w:p w14:paraId="3662D13F" w14:textId="4763BE28" w:rsidR="00E03022" w:rsidRPr="00514529" w:rsidRDefault="00514529" w:rsidP="00E03022">
      <w:pPr>
        <w:pStyle w:val="Observation"/>
        <w:rPr>
          <w:lang w:eastAsia="zh-CN"/>
        </w:rPr>
      </w:pPr>
      <w:bookmarkStart w:id="5" w:name="_Toc68205380"/>
      <w:r>
        <w:rPr>
          <w:lang w:eastAsia="zh-CN"/>
        </w:rPr>
        <w:t xml:space="preserve">CHO triggering upon type-2 RLF reception might imply service interruption, signalling overhead and also bring to </w:t>
      </w:r>
      <w:r w:rsidRPr="00E03022">
        <w:rPr>
          <w:rFonts w:cs="Arial"/>
          <w:lang w:eastAsia="zh-CN"/>
        </w:rPr>
        <w:t>suboptimal and unnecessary topology change</w:t>
      </w:r>
      <w:r>
        <w:rPr>
          <w:rFonts w:cs="Arial"/>
          <w:lang w:eastAsia="zh-CN"/>
        </w:rPr>
        <w:t>, especially if a type-3 RLF is then received.</w:t>
      </w:r>
      <w:bookmarkEnd w:id="5"/>
    </w:p>
    <w:p w14:paraId="5882D06F" w14:textId="68CCEF19" w:rsidR="00514529" w:rsidRPr="00B92D2A" w:rsidRDefault="00514529" w:rsidP="00514529">
      <w:pPr>
        <w:rPr>
          <w:rFonts w:ascii="Arial" w:hAnsi="Arial" w:cs="Arial"/>
          <w:lang w:eastAsia="zh-CN"/>
        </w:rPr>
      </w:pPr>
      <w:r w:rsidRPr="00B92D2A">
        <w:rPr>
          <w:rFonts w:ascii="Arial" w:hAnsi="Arial" w:cs="Arial"/>
          <w:lang w:eastAsia="zh-CN"/>
        </w:rPr>
        <w:t xml:space="preserve">Given the above, we believe that the current Rel.16 framework can be used as it is, and no further optimizations are needed </w:t>
      </w:r>
      <w:r w:rsidR="00D31F59">
        <w:rPr>
          <w:rFonts w:ascii="Arial" w:hAnsi="Arial" w:cs="Arial"/>
          <w:lang w:eastAsia="zh-CN"/>
        </w:rPr>
        <w:t xml:space="preserve">to CHO </w:t>
      </w:r>
      <w:r w:rsidRPr="00B92D2A">
        <w:rPr>
          <w:rFonts w:ascii="Arial" w:hAnsi="Arial" w:cs="Arial"/>
          <w:lang w:eastAsia="zh-CN"/>
        </w:rPr>
        <w:t xml:space="preserve">for </w:t>
      </w:r>
      <w:r w:rsidR="00D31F59">
        <w:rPr>
          <w:rFonts w:ascii="Arial" w:hAnsi="Arial" w:cs="Arial"/>
          <w:lang w:eastAsia="zh-CN"/>
        </w:rPr>
        <w:t xml:space="preserve">the sake of </w:t>
      </w:r>
      <w:r w:rsidRPr="00B92D2A">
        <w:rPr>
          <w:rFonts w:ascii="Arial" w:hAnsi="Arial" w:cs="Arial"/>
          <w:lang w:eastAsia="zh-CN"/>
        </w:rPr>
        <w:t>IAB</w:t>
      </w:r>
      <w:r w:rsidR="00B92D2A">
        <w:rPr>
          <w:rFonts w:ascii="Arial" w:hAnsi="Arial" w:cs="Arial"/>
          <w:lang w:eastAsia="zh-CN"/>
        </w:rPr>
        <w:t>.</w:t>
      </w:r>
    </w:p>
    <w:p w14:paraId="6ABF35CB" w14:textId="5877C59A" w:rsidR="004B3644" w:rsidRPr="00514529" w:rsidRDefault="00FF6A3D" w:rsidP="004B3644">
      <w:pPr>
        <w:pStyle w:val="Proposal"/>
        <w:rPr>
          <w:rFonts w:cs="Arial"/>
        </w:rPr>
      </w:pPr>
      <w:bookmarkStart w:id="6" w:name="_Toc68205382"/>
      <w:r w:rsidRPr="00514529">
        <w:rPr>
          <w:rFonts w:cs="Arial"/>
        </w:rPr>
        <w:t>As per Rel.16 specification, an IAB node can be configured with CHO and trigger migration</w:t>
      </w:r>
      <w:r w:rsidR="00D4537E" w:rsidRPr="00514529">
        <w:rPr>
          <w:rFonts w:cs="Arial"/>
        </w:rPr>
        <w:t xml:space="preserve"> </w:t>
      </w:r>
      <w:r w:rsidR="00047615">
        <w:rPr>
          <w:rFonts w:cs="Arial"/>
        </w:rPr>
        <w:t xml:space="preserve">in the </w:t>
      </w:r>
      <w:r w:rsidR="00D4537E" w:rsidRPr="00514529">
        <w:rPr>
          <w:rFonts w:cs="Arial"/>
        </w:rPr>
        <w:t>after fulfilling A3/A</w:t>
      </w:r>
      <w:r w:rsidR="002E25B4">
        <w:rPr>
          <w:rFonts w:cs="Arial"/>
        </w:rPr>
        <w:t>5</w:t>
      </w:r>
      <w:r w:rsidR="00D4537E" w:rsidRPr="00514529">
        <w:rPr>
          <w:rFonts w:cs="Arial"/>
        </w:rPr>
        <w:t xml:space="preserve"> events, or upon declaring RLF for the link with the parent node, or upon receiving BH RLF recovery failure from the parent node</w:t>
      </w:r>
      <w:r w:rsidR="00514529" w:rsidRPr="00514529">
        <w:rPr>
          <w:rFonts w:cs="Arial"/>
        </w:rPr>
        <w:t>.</w:t>
      </w:r>
      <w:bookmarkEnd w:id="6"/>
    </w:p>
    <w:p w14:paraId="0F1645DA" w14:textId="01DD4D38" w:rsidR="00514529" w:rsidRPr="00514529" w:rsidRDefault="00514529" w:rsidP="004B3644">
      <w:pPr>
        <w:pStyle w:val="Proposal"/>
        <w:rPr>
          <w:rFonts w:cs="Arial"/>
        </w:rPr>
      </w:pPr>
      <w:bookmarkStart w:id="7" w:name="_Toc68205383"/>
      <w:r w:rsidRPr="00514529">
        <w:rPr>
          <w:rFonts w:cs="Arial"/>
        </w:rPr>
        <w:t>No IAB-specific enhancements to CHO triggering conditions are needed.</w:t>
      </w:r>
      <w:bookmarkEnd w:id="7"/>
    </w:p>
    <w:p w14:paraId="2593E300" w14:textId="3FF3B6EA" w:rsidR="006B177F" w:rsidRDefault="006B177F" w:rsidP="004B3644">
      <w:pPr>
        <w:pStyle w:val="Observation"/>
        <w:numPr>
          <w:ilvl w:val="0"/>
          <w:numId w:val="0"/>
        </w:numPr>
      </w:pPr>
    </w:p>
    <w:p w14:paraId="6C9F83E3" w14:textId="20072C08" w:rsidR="009912B3" w:rsidRDefault="00B92D2A" w:rsidP="001914B4">
      <w:pPr>
        <w:rPr>
          <w:rFonts w:ascii="Arial" w:hAnsi="Arial" w:cs="Arial"/>
        </w:rPr>
      </w:pPr>
      <w:r>
        <w:rPr>
          <w:rFonts w:ascii="Arial" w:hAnsi="Arial" w:cs="Arial"/>
        </w:rPr>
        <w:t>In the</w:t>
      </w:r>
      <w:r w:rsidR="009912B3">
        <w:rPr>
          <w:rFonts w:ascii="Arial" w:hAnsi="Arial" w:cs="Arial"/>
        </w:rPr>
        <w:t xml:space="preserve"> email discussion </w:t>
      </w:r>
      <w:r w:rsidR="009912B3">
        <w:rPr>
          <w:rFonts w:ascii="Arial" w:hAnsi="Arial" w:cs="Arial"/>
        </w:rPr>
        <w:fldChar w:fldCharType="begin"/>
      </w:r>
      <w:r w:rsidR="009912B3">
        <w:rPr>
          <w:rFonts w:ascii="Arial" w:hAnsi="Arial" w:cs="Arial"/>
        </w:rPr>
        <w:instrText xml:space="preserve"> REF _Ref67946754 \r \h </w:instrText>
      </w:r>
      <w:r w:rsidR="009912B3">
        <w:rPr>
          <w:rFonts w:ascii="Arial" w:hAnsi="Arial" w:cs="Arial"/>
        </w:rPr>
      </w:r>
      <w:r w:rsidR="009912B3">
        <w:rPr>
          <w:rFonts w:ascii="Arial" w:hAnsi="Arial" w:cs="Arial"/>
        </w:rPr>
        <w:fldChar w:fldCharType="separate"/>
      </w:r>
      <w:r w:rsidR="00A371CC">
        <w:rPr>
          <w:rFonts w:ascii="Arial" w:hAnsi="Arial" w:cs="Arial"/>
        </w:rPr>
        <w:t>[1]</w:t>
      </w:r>
      <w:r w:rsidR="009912B3">
        <w:rPr>
          <w:rFonts w:ascii="Arial" w:hAnsi="Arial" w:cs="Arial"/>
        </w:rPr>
        <w:fldChar w:fldCharType="end"/>
      </w:r>
      <w:r w:rsidR="009912B3">
        <w:rPr>
          <w:rFonts w:ascii="Arial" w:hAnsi="Arial" w:cs="Arial"/>
        </w:rPr>
        <w:t xml:space="preserve">, it has been discussed whether the descendant IAB nodes/UEs served by the migrating IAB node should be somehow impacted by the CHO migration. Once the migrating IAB node performs CHO to a target donor, the target donor is assumed to have already received from the source CU, information about such IAB node and its descendant IAB nodes and UEs. Hence the target CU should have all the information available to perform all the needed reconfigurations, such as the routing tables updates, and security keys update to the end-users </w:t>
      </w:r>
      <w:r w:rsidR="00047615">
        <w:rPr>
          <w:rFonts w:ascii="Arial" w:hAnsi="Arial" w:cs="Arial"/>
        </w:rPr>
        <w:t xml:space="preserve">which are </w:t>
      </w:r>
      <w:r w:rsidR="009912B3">
        <w:rPr>
          <w:rFonts w:ascii="Arial" w:hAnsi="Arial" w:cs="Arial"/>
        </w:rPr>
        <w:t xml:space="preserve">needed to communicate with the target. This procedure is not different </w:t>
      </w:r>
      <w:r w:rsidR="00CD615D">
        <w:rPr>
          <w:rFonts w:ascii="Arial" w:hAnsi="Arial" w:cs="Arial"/>
        </w:rPr>
        <w:t>from</w:t>
      </w:r>
      <w:r w:rsidR="009912B3">
        <w:rPr>
          <w:rFonts w:ascii="Arial" w:hAnsi="Arial" w:cs="Arial"/>
        </w:rPr>
        <w:t xml:space="preserve"> </w:t>
      </w:r>
      <w:r w:rsidR="00CD615D">
        <w:rPr>
          <w:rFonts w:ascii="Arial" w:hAnsi="Arial" w:cs="Arial"/>
        </w:rPr>
        <w:t>an ordinary non-CHO migration, thus it is not clear in which sense descendant IAB nodes and UEs should be impacted by the CHO migration, given that the descendant IAB nodes and UEs will not change their serving cell, i.e. they will not change the parent IAB node.</w:t>
      </w:r>
    </w:p>
    <w:p w14:paraId="318CFDA7" w14:textId="104D715D" w:rsidR="006B177F" w:rsidRDefault="00CD615D" w:rsidP="00CD615D">
      <w:pPr>
        <w:pStyle w:val="Observation"/>
      </w:pPr>
      <w:bookmarkStart w:id="8" w:name="_Toc68205381"/>
      <w:r>
        <w:t>Descendant IAB nodes and UEs of a migrating IAB node do not change their parent node, and once the migrating IAB node attaches to a target CU upon fulfilling CHO conditions, they may be reconfigured by the target CU. This is the same as for an ordinary non-CHO migration.</w:t>
      </w:r>
      <w:bookmarkEnd w:id="8"/>
    </w:p>
    <w:p w14:paraId="58FAC923" w14:textId="7139304B" w:rsidR="006521C8" w:rsidRDefault="00CD615D" w:rsidP="00CD615D">
      <w:pPr>
        <w:pStyle w:val="Proposal"/>
      </w:pPr>
      <w:bookmarkStart w:id="9" w:name="_Toc68205384"/>
      <w:r>
        <w:t>The impact on descendant IAB nodes/UEs of a migrating IAB node is the same, irrespective of whether the migration is an ordinary migration or it is triggered by CHO.</w:t>
      </w:r>
      <w:bookmarkEnd w:id="9"/>
    </w:p>
    <w:p w14:paraId="632089C9" w14:textId="40E06ED0" w:rsidR="00287EBF" w:rsidRDefault="00281DDA" w:rsidP="00281DDA">
      <w:pPr>
        <w:pStyle w:val="Heading2"/>
      </w:pPr>
      <w:r>
        <w:t>2.2 DAPS for IAB</w:t>
      </w:r>
    </w:p>
    <w:p w14:paraId="1584CD80" w14:textId="050E648E" w:rsidR="00471740" w:rsidRDefault="00281DDA" w:rsidP="004C5862">
      <w:pPr>
        <w:rPr>
          <w:rFonts w:ascii="Arial" w:hAnsi="Arial" w:cs="Arial"/>
        </w:rPr>
      </w:pPr>
      <w:r w:rsidRPr="006C6C24">
        <w:rPr>
          <w:rFonts w:ascii="Arial" w:hAnsi="Arial" w:cs="Arial"/>
        </w:rPr>
        <w:t xml:space="preserve">The email discussion </w:t>
      </w:r>
      <w:r w:rsidRPr="006C6C24">
        <w:rPr>
          <w:rFonts w:ascii="Arial" w:hAnsi="Arial" w:cs="Arial"/>
        </w:rPr>
        <w:fldChar w:fldCharType="begin"/>
      </w:r>
      <w:r w:rsidRPr="006C6C24">
        <w:rPr>
          <w:rFonts w:ascii="Arial" w:hAnsi="Arial" w:cs="Arial"/>
        </w:rPr>
        <w:instrText xml:space="preserve"> REF _Ref67946754 \r \h </w:instrText>
      </w:r>
      <w:r w:rsidR="006C6C24">
        <w:rPr>
          <w:rFonts w:ascii="Arial" w:hAnsi="Arial" w:cs="Arial"/>
        </w:rPr>
        <w:instrText xml:space="preserve"> \* MERGEFORMAT </w:instrText>
      </w:r>
      <w:r w:rsidRPr="006C6C24">
        <w:rPr>
          <w:rFonts w:ascii="Arial" w:hAnsi="Arial" w:cs="Arial"/>
        </w:rPr>
      </w:r>
      <w:r w:rsidRPr="006C6C24">
        <w:rPr>
          <w:rFonts w:ascii="Arial" w:hAnsi="Arial" w:cs="Arial"/>
        </w:rPr>
        <w:fldChar w:fldCharType="separate"/>
      </w:r>
      <w:r w:rsidR="00A371CC">
        <w:rPr>
          <w:rFonts w:ascii="Arial" w:hAnsi="Arial" w:cs="Arial"/>
        </w:rPr>
        <w:t>[1]</w:t>
      </w:r>
      <w:r w:rsidRPr="006C6C24">
        <w:rPr>
          <w:rFonts w:ascii="Arial" w:hAnsi="Arial" w:cs="Arial"/>
        </w:rPr>
        <w:fldChar w:fldCharType="end"/>
      </w:r>
      <w:r w:rsidRPr="006C6C24">
        <w:rPr>
          <w:rFonts w:ascii="Arial" w:hAnsi="Arial" w:cs="Arial"/>
        </w:rPr>
        <w:t xml:space="preserve"> also addresses the potential applicability of DAPS to IAB. Various use cases have been identified for DAPS, such as reducing service interruption, robustness and load balancing. </w:t>
      </w:r>
    </w:p>
    <w:p w14:paraId="68235067" w14:textId="64158290" w:rsidR="008B6C20" w:rsidRDefault="004035CC" w:rsidP="004C5862">
      <w:pPr>
        <w:rPr>
          <w:rFonts w:ascii="Arial" w:hAnsi="Arial" w:cs="Arial"/>
        </w:rPr>
      </w:pPr>
      <w:r w:rsidRPr="006C6C24">
        <w:rPr>
          <w:rFonts w:ascii="Arial" w:hAnsi="Arial" w:cs="Arial"/>
        </w:rPr>
        <w:lastRenderedPageBreak/>
        <w:t xml:space="preserve">In our view, </w:t>
      </w:r>
      <w:r w:rsidR="00492343">
        <w:rPr>
          <w:rFonts w:ascii="Arial" w:hAnsi="Arial" w:cs="Arial"/>
        </w:rPr>
        <w:t xml:space="preserve">the WID associated </w:t>
      </w:r>
      <w:r w:rsidRPr="006C6C24">
        <w:rPr>
          <w:rFonts w:ascii="Arial" w:hAnsi="Arial" w:cs="Arial"/>
        </w:rPr>
        <w:t xml:space="preserve">service interruption </w:t>
      </w:r>
      <w:r w:rsidR="00492343">
        <w:rPr>
          <w:rFonts w:ascii="Arial" w:hAnsi="Arial" w:cs="Arial"/>
        </w:rPr>
        <w:t xml:space="preserve">to </w:t>
      </w:r>
      <w:r w:rsidR="004D240C">
        <w:rPr>
          <w:rFonts w:ascii="Arial" w:hAnsi="Arial" w:cs="Arial"/>
        </w:rPr>
        <w:t xml:space="preserve">the RLF case. </w:t>
      </w:r>
      <w:r w:rsidR="002B3FEA">
        <w:rPr>
          <w:rFonts w:ascii="Arial" w:hAnsi="Arial" w:cs="Arial"/>
        </w:rPr>
        <w:t>DAPS cannot help for the RLF case</w:t>
      </w:r>
      <w:r w:rsidR="003716D9">
        <w:rPr>
          <w:rFonts w:ascii="Arial" w:hAnsi="Arial" w:cs="Arial"/>
        </w:rPr>
        <w:t xml:space="preserve"> and thus, this cannot be considered to be a valid solution for the RLF. </w:t>
      </w:r>
      <w:r w:rsidR="00001837">
        <w:rPr>
          <w:rFonts w:ascii="Arial" w:hAnsi="Arial" w:cs="Arial"/>
        </w:rPr>
        <w:t>It is possible to argue</w:t>
      </w:r>
      <w:r w:rsidR="00772692">
        <w:rPr>
          <w:rFonts w:ascii="Arial" w:hAnsi="Arial" w:cs="Arial"/>
        </w:rPr>
        <w:t xml:space="preserve">, however, </w:t>
      </w:r>
      <w:r w:rsidR="00001837">
        <w:rPr>
          <w:rFonts w:ascii="Arial" w:hAnsi="Arial" w:cs="Arial"/>
        </w:rPr>
        <w:t xml:space="preserve">that service interruption is possible too when </w:t>
      </w:r>
      <w:r w:rsidR="005C34AB">
        <w:rPr>
          <w:rFonts w:ascii="Arial" w:hAnsi="Arial" w:cs="Arial"/>
        </w:rPr>
        <w:t xml:space="preserve">a node is </w:t>
      </w:r>
      <w:r w:rsidR="00392B1C">
        <w:rPr>
          <w:rFonts w:ascii="Arial" w:hAnsi="Arial" w:cs="Arial"/>
        </w:rPr>
        <w:t xml:space="preserve">completely </w:t>
      </w:r>
      <w:r w:rsidR="005C34AB">
        <w:rPr>
          <w:rFonts w:ascii="Arial" w:hAnsi="Arial" w:cs="Arial"/>
        </w:rPr>
        <w:t>migrated to another CU</w:t>
      </w:r>
      <w:r w:rsidR="00211FB4">
        <w:rPr>
          <w:rFonts w:ascii="Arial" w:hAnsi="Arial" w:cs="Arial"/>
        </w:rPr>
        <w:t>.</w:t>
      </w:r>
      <w:r w:rsidR="00392B1C">
        <w:rPr>
          <w:rFonts w:ascii="Arial" w:hAnsi="Arial" w:cs="Arial"/>
        </w:rPr>
        <w:t xml:space="preserve"> </w:t>
      </w:r>
      <w:r w:rsidR="00BF5FB6">
        <w:rPr>
          <w:rFonts w:ascii="Arial" w:hAnsi="Arial" w:cs="Arial"/>
        </w:rPr>
        <w:t xml:space="preserve">This could potentially be done with CHO. </w:t>
      </w:r>
      <w:r w:rsidR="001D7E05">
        <w:rPr>
          <w:rFonts w:ascii="Arial" w:hAnsi="Arial" w:cs="Arial"/>
        </w:rPr>
        <w:t xml:space="preserve">We do not think several solutions are needed to address the same problem, specially when the situation may be rather rare. </w:t>
      </w:r>
      <w:r w:rsidR="008B6C20">
        <w:rPr>
          <w:rFonts w:ascii="Arial" w:hAnsi="Arial" w:cs="Arial"/>
        </w:rPr>
        <w:t xml:space="preserve">When we discuss </w:t>
      </w:r>
      <w:r w:rsidR="00884BCC">
        <w:rPr>
          <w:rFonts w:ascii="Arial" w:hAnsi="Arial" w:cs="Arial"/>
        </w:rPr>
        <w:t>load balancing, service interruption is not an issue, as the user plane traffic is not interrupted during the procedure.</w:t>
      </w:r>
    </w:p>
    <w:p w14:paraId="09B6CFF6" w14:textId="39F82DDD" w:rsidR="000976B1" w:rsidRDefault="000976B1" w:rsidP="004C5862">
      <w:pPr>
        <w:rPr>
          <w:rFonts w:ascii="Arial" w:hAnsi="Arial" w:cs="Arial"/>
        </w:rPr>
      </w:pPr>
      <w:r>
        <w:rPr>
          <w:rFonts w:ascii="Arial" w:hAnsi="Arial" w:cs="Arial"/>
        </w:rPr>
        <w:t xml:space="preserve">In any case, </w:t>
      </w:r>
      <w:r w:rsidR="00FE5E3E">
        <w:rPr>
          <w:rFonts w:ascii="Arial" w:hAnsi="Arial" w:cs="Arial"/>
        </w:rPr>
        <w:t>during the previous meetings and email discussions, we understand that each company may have a different understanding of what “DAPS</w:t>
      </w:r>
      <w:r w:rsidR="00AC39D2">
        <w:rPr>
          <w:rFonts w:ascii="Arial" w:hAnsi="Arial" w:cs="Arial"/>
        </w:rPr>
        <w:t>-like</w:t>
      </w:r>
      <w:r w:rsidR="00A50F27">
        <w:rPr>
          <w:rFonts w:ascii="Arial" w:hAnsi="Arial" w:cs="Arial"/>
        </w:rPr>
        <w:t xml:space="preserve">” is when it comes to an IAB. </w:t>
      </w:r>
      <w:r w:rsidR="00AC39D2">
        <w:rPr>
          <w:rFonts w:ascii="Arial" w:hAnsi="Arial" w:cs="Arial"/>
        </w:rPr>
        <w:t xml:space="preserve">If for “DAPS-like” is intended the Rel.16 </w:t>
      </w:r>
      <w:r w:rsidR="00810D6F">
        <w:rPr>
          <w:rFonts w:ascii="Arial" w:hAnsi="Arial" w:cs="Arial"/>
        </w:rPr>
        <w:t>DAPS</w:t>
      </w:r>
      <w:r w:rsidR="00AC39D2">
        <w:rPr>
          <w:rFonts w:ascii="Arial" w:hAnsi="Arial" w:cs="Arial"/>
        </w:rPr>
        <w:t>, we note that</w:t>
      </w:r>
      <w:r w:rsidR="00810D6F">
        <w:rPr>
          <w:rFonts w:ascii="Arial" w:hAnsi="Arial" w:cs="Arial"/>
        </w:rPr>
        <w:t xml:space="preserve"> </w:t>
      </w:r>
      <w:r w:rsidR="00AC39D2">
        <w:rPr>
          <w:rFonts w:ascii="Arial" w:hAnsi="Arial" w:cs="Arial"/>
        </w:rPr>
        <w:t>this</w:t>
      </w:r>
      <w:r w:rsidR="00810D6F">
        <w:rPr>
          <w:rFonts w:ascii="Arial" w:hAnsi="Arial" w:cs="Arial"/>
        </w:rPr>
        <w:t xml:space="preserve"> a feature that </w:t>
      </w:r>
      <w:r w:rsidR="009241CF">
        <w:rPr>
          <w:rFonts w:ascii="Arial" w:hAnsi="Arial" w:cs="Arial"/>
        </w:rPr>
        <w:t xml:space="preserve">consists of </w:t>
      </w:r>
      <w:r w:rsidR="00810D6F">
        <w:rPr>
          <w:rFonts w:ascii="Arial" w:hAnsi="Arial" w:cs="Arial"/>
        </w:rPr>
        <w:t xml:space="preserve">having </w:t>
      </w:r>
      <w:r w:rsidR="001A364A">
        <w:rPr>
          <w:rFonts w:ascii="Arial" w:hAnsi="Arial" w:cs="Arial"/>
        </w:rPr>
        <w:t xml:space="preserve">two </w:t>
      </w:r>
      <w:r w:rsidR="00810D6F">
        <w:rPr>
          <w:rFonts w:ascii="Arial" w:hAnsi="Arial" w:cs="Arial"/>
        </w:rPr>
        <w:t>PDCP entities in the UE</w:t>
      </w:r>
      <w:r w:rsidR="001A364A">
        <w:rPr>
          <w:rFonts w:ascii="Arial" w:hAnsi="Arial" w:cs="Arial"/>
        </w:rPr>
        <w:t xml:space="preserve"> </w:t>
      </w:r>
      <w:r w:rsidR="00361CE3">
        <w:rPr>
          <w:rFonts w:ascii="Arial" w:hAnsi="Arial" w:cs="Arial"/>
        </w:rPr>
        <w:t>for a period of time</w:t>
      </w:r>
      <w:r w:rsidR="009241CF">
        <w:rPr>
          <w:rFonts w:ascii="Arial" w:hAnsi="Arial" w:cs="Arial"/>
        </w:rPr>
        <w:t xml:space="preserve"> so data can flow over the two PDCP entities </w:t>
      </w:r>
      <w:r w:rsidR="00D07BC9">
        <w:rPr>
          <w:rFonts w:ascii="Arial" w:hAnsi="Arial" w:cs="Arial"/>
        </w:rPr>
        <w:t xml:space="preserve">until the handover is completed. </w:t>
      </w:r>
      <w:r w:rsidR="005143DD">
        <w:rPr>
          <w:rFonts w:ascii="Arial" w:hAnsi="Arial" w:cs="Arial"/>
        </w:rPr>
        <w:t>IABs do not have a PDCP entity</w:t>
      </w:r>
      <w:r w:rsidR="00BF1331">
        <w:rPr>
          <w:rFonts w:ascii="Arial" w:hAnsi="Arial" w:cs="Arial"/>
        </w:rPr>
        <w:t xml:space="preserve"> and, therefore, we do not see how DAPS and IABs go together.</w:t>
      </w:r>
      <w:r w:rsidR="005143DD">
        <w:rPr>
          <w:rFonts w:ascii="Arial" w:hAnsi="Arial" w:cs="Arial"/>
        </w:rPr>
        <w:t xml:space="preserve"> </w:t>
      </w:r>
    </w:p>
    <w:p w14:paraId="1A7C67FD" w14:textId="34E3F4D5" w:rsidR="004C5862" w:rsidRPr="006C6C24" w:rsidRDefault="00313E2B" w:rsidP="004C5862">
      <w:pPr>
        <w:rPr>
          <w:rFonts w:ascii="Arial" w:hAnsi="Arial" w:cs="Arial"/>
        </w:rPr>
      </w:pPr>
      <w:r>
        <w:rPr>
          <w:rFonts w:ascii="Arial" w:hAnsi="Arial" w:cs="Arial"/>
        </w:rPr>
        <w:t xml:space="preserve">Additionally, the Rel.16 </w:t>
      </w:r>
      <w:r w:rsidR="009142EF">
        <w:rPr>
          <w:rFonts w:ascii="Arial" w:hAnsi="Arial" w:cs="Arial"/>
        </w:rPr>
        <w:t xml:space="preserve">DAPS, in </w:t>
      </w:r>
      <w:r w:rsidR="00D00535">
        <w:rPr>
          <w:rFonts w:ascii="Arial" w:hAnsi="Arial" w:cs="Arial"/>
        </w:rPr>
        <w:t>general</w:t>
      </w:r>
      <w:r w:rsidR="009142EF">
        <w:rPr>
          <w:rFonts w:ascii="Arial" w:hAnsi="Arial" w:cs="Arial"/>
        </w:rPr>
        <w:t xml:space="preserve"> terms</w:t>
      </w:r>
      <w:r w:rsidR="00D00535">
        <w:rPr>
          <w:rFonts w:ascii="Arial" w:hAnsi="Arial" w:cs="Arial"/>
        </w:rPr>
        <w:t>, has several drawbacks</w:t>
      </w:r>
      <w:r>
        <w:rPr>
          <w:rFonts w:ascii="Arial" w:hAnsi="Arial" w:cs="Arial"/>
        </w:rPr>
        <w:t xml:space="preserve"> if applied to IAB</w:t>
      </w:r>
      <w:r w:rsidR="00506F8F">
        <w:rPr>
          <w:rFonts w:ascii="Arial" w:hAnsi="Arial" w:cs="Arial"/>
        </w:rPr>
        <w:t xml:space="preserve">: </w:t>
      </w:r>
      <w:r>
        <w:rPr>
          <w:rFonts w:ascii="Arial" w:hAnsi="Arial" w:cs="Arial"/>
        </w:rPr>
        <w:t xml:space="preserve">e.g. </w:t>
      </w:r>
      <w:r w:rsidR="00D00535" w:rsidRPr="00D00535">
        <w:rPr>
          <w:rFonts w:ascii="Arial" w:hAnsi="Arial" w:cs="Arial"/>
        </w:rPr>
        <w:t>CA is de</w:t>
      </w:r>
      <w:r w:rsidR="00D00535">
        <w:rPr>
          <w:rFonts w:ascii="Arial" w:hAnsi="Arial" w:cs="Arial"/>
        </w:rPr>
        <w:t>-</w:t>
      </w:r>
      <w:r w:rsidR="00D00535" w:rsidRPr="00D00535">
        <w:rPr>
          <w:rFonts w:ascii="Arial" w:hAnsi="Arial" w:cs="Arial"/>
        </w:rPr>
        <w:t>confi</w:t>
      </w:r>
      <w:r w:rsidR="00D00535">
        <w:rPr>
          <w:rFonts w:ascii="Arial" w:hAnsi="Arial" w:cs="Arial"/>
        </w:rPr>
        <w:t>g</w:t>
      </w:r>
      <w:r w:rsidR="00D00535" w:rsidRPr="00D00535">
        <w:rPr>
          <w:rFonts w:ascii="Arial" w:hAnsi="Arial" w:cs="Arial"/>
        </w:rPr>
        <w:t>ured</w:t>
      </w:r>
      <w:r w:rsidR="00D00535">
        <w:rPr>
          <w:rFonts w:ascii="Arial" w:hAnsi="Arial" w:cs="Arial"/>
        </w:rPr>
        <w:t xml:space="preserve"> which may actually negatively impact the service</w:t>
      </w:r>
      <w:r w:rsidR="00751B07">
        <w:rPr>
          <w:rFonts w:ascii="Arial" w:hAnsi="Arial" w:cs="Arial"/>
        </w:rPr>
        <w:t xml:space="preserve"> as data rates will be reduced</w:t>
      </w:r>
      <w:r w:rsidR="00506F8F">
        <w:rPr>
          <w:rFonts w:ascii="Arial" w:hAnsi="Arial" w:cs="Arial"/>
        </w:rPr>
        <w:t xml:space="preserve">; </w:t>
      </w:r>
      <w:r w:rsidR="00FE7540">
        <w:rPr>
          <w:rFonts w:ascii="Arial" w:hAnsi="Arial" w:cs="Arial"/>
        </w:rPr>
        <w:t xml:space="preserve">and also </w:t>
      </w:r>
      <w:r w:rsidR="00506F8F">
        <w:rPr>
          <w:rFonts w:ascii="Arial" w:hAnsi="Arial" w:cs="Arial"/>
        </w:rPr>
        <w:t>d</w:t>
      </w:r>
      <w:r w:rsidR="00797EF4">
        <w:rPr>
          <w:rFonts w:ascii="Arial" w:hAnsi="Arial" w:cs="Arial"/>
        </w:rPr>
        <w:t xml:space="preserve">ual </w:t>
      </w:r>
      <w:r w:rsidR="00D00535" w:rsidRPr="00D00535">
        <w:rPr>
          <w:rFonts w:ascii="Arial" w:hAnsi="Arial" w:cs="Arial"/>
        </w:rPr>
        <w:t>UL is not supported</w:t>
      </w:r>
      <w:r w:rsidR="00797EF4">
        <w:rPr>
          <w:rFonts w:ascii="Arial" w:hAnsi="Arial" w:cs="Arial"/>
        </w:rPr>
        <w:t xml:space="preserve">. </w:t>
      </w:r>
      <w:r w:rsidR="00FE7540">
        <w:rPr>
          <w:rFonts w:ascii="Arial" w:hAnsi="Arial" w:cs="Arial"/>
        </w:rPr>
        <w:t>Also, regarding the service interruption, we note that t</w:t>
      </w:r>
      <w:r w:rsidR="00C63471" w:rsidRPr="006C6C24">
        <w:rPr>
          <w:rFonts w:ascii="Arial" w:hAnsi="Arial" w:cs="Arial"/>
        </w:rPr>
        <w:t xml:space="preserve">he security keys of the descendant IAB nodes and UEs need to be </w:t>
      </w:r>
      <w:r w:rsidR="009C0BC1">
        <w:rPr>
          <w:rFonts w:ascii="Arial" w:hAnsi="Arial" w:cs="Arial"/>
        </w:rPr>
        <w:t xml:space="preserve">anyhow </w:t>
      </w:r>
      <w:r w:rsidR="00C63471" w:rsidRPr="006C6C24">
        <w:rPr>
          <w:rFonts w:ascii="Arial" w:hAnsi="Arial" w:cs="Arial"/>
        </w:rPr>
        <w:t xml:space="preserve">reconfigured before the migrating IAB node </w:t>
      </w:r>
      <w:r w:rsidR="009C0BC1">
        <w:rPr>
          <w:rFonts w:ascii="Arial" w:hAnsi="Arial" w:cs="Arial"/>
        </w:rPr>
        <w:t xml:space="preserve">(configured with DAPS) </w:t>
      </w:r>
      <w:r w:rsidR="00C63471" w:rsidRPr="006C6C24">
        <w:rPr>
          <w:rFonts w:ascii="Arial" w:hAnsi="Arial" w:cs="Arial"/>
        </w:rPr>
        <w:t>can forward the traffic to/from the target donor</w:t>
      </w:r>
      <w:r w:rsidR="00DE6A25">
        <w:rPr>
          <w:rFonts w:ascii="Arial" w:hAnsi="Arial" w:cs="Arial"/>
        </w:rPr>
        <w:t>,</w:t>
      </w:r>
      <w:r w:rsidR="00FE7540">
        <w:rPr>
          <w:rFonts w:ascii="Arial" w:hAnsi="Arial" w:cs="Arial"/>
        </w:rPr>
        <w:t xml:space="preserve"> hence the potential gains of DAPS in terms of reduced service interruption vanishes</w:t>
      </w:r>
      <w:r w:rsidR="00012353">
        <w:rPr>
          <w:rFonts w:ascii="Arial" w:hAnsi="Arial" w:cs="Arial"/>
        </w:rPr>
        <w:t xml:space="preserve">. Since the “DAPS-like” solution was discussed in RAN3 in the context of inter-donor topology adaptation (see LS in </w:t>
      </w:r>
      <w:r w:rsidR="00012353">
        <w:rPr>
          <w:rFonts w:ascii="Arial" w:hAnsi="Arial" w:cs="Arial"/>
        </w:rPr>
        <w:fldChar w:fldCharType="begin"/>
      </w:r>
      <w:r w:rsidR="00012353">
        <w:rPr>
          <w:rFonts w:ascii="Arial" w:hAnsi="Arial" w:cs="Arial"/>
        </w:rPr>
        <w:instrText xml:space="preserve"> REF _Ref68204680 \r \h </w:instrText>
      </w:r>
      <w:r w:rsidR="00012353">
        <w:rPr>
          <w:rFonts w:ascii="Arial" w:hAnsi="Arial" w:cs="Arial"/>
        </w:rPr>
      </w:r>
      <w:r w:rsidR="00012353">
        <w:rPr>
          <w:rFonts w:ascii="Arial" w:hAnsi="Arial" w:cs="Arial"/>
        </w:rPr>
        <w:fldChar w:fldCharType="separate"/>
      </w:r>
      <w:r w:rsidR="00A371CC">
        <w:rPr>
          <w:rFonts w:ascii="Arial" w:hAnsi="Arial" w:cs="Arial"/>
        </w:rPr>
        <w:t>[2]</w:t>
      </w:r>
      <w:r w:rsidR="00012353">
        <w:rPr>
          <w:rFonts w:ascii="Arial" w:hAnsi="Arial" w:cs="Arial"/>
        </w:rPr>
        <w:fldChar w:fldCharType="end"/>
      </w:r>
      <w:r w:rsidR="00012353">
        <w:rPr>
          <w:rFonts w:ascii="Arial" w:hAnsi="Arial" w:cs="Arial"/>
        </w:rPr>
        <w:t xml:space="preserve">), the above might be a non-negligible </w:t>
      </w:r>
      <w:r w:rsidR="0073026E">
        <w:rPr>
          <w:rFonts w:ascii="Arial" w:hAnsi="Arial" w:cs="Arial"/>
        </w:rPr>
        <w:t>issue.</w:t>
      </w:r>
      <w:r w:rsidR="00012353">
        <w:rPr>
          <w:rFonts w:ascii="Arial" w:hAnsi="Arial" w:cs="Arial"/>
        </w:rPr>
        <w:t xml:space="preserve"> </w:t>
      </w:r>
    </w:p>
    <w:p w14:paraId="5F369B82" w14:textId="42C11676" w:rsidR="0073026E" w:rsidRPr="006C6C24" w:rsidRDefault="0073026E" w:rsidP="0073026E">
      <w:pPr>
        <w:rPr>
          <w:rFonts w:ascii="Arial" w:hAnsi="Arial" w:cs="Arial"/>
        </w:rPr>
      </w:pPr>
      <w:r>
        <w:rPr>
          <w:rFonts w:ascii="Arial" w:hAnsi="Arial" w:cs="Arial"/>
        </w:rPr>
        <w:t xml:space="preserve">Given the above, if for “DAPS-like” is intended the Rel.16 DAPS, there are some considerable limitations that may make its applicability to IAB </w:t>
      </w:r>
      <w:r w:rsidR="00425710">
        <w:rPr>
          <w:rFonts w:ascii="Arial" w:hAnsi="Arial" w:cs="Arial"/>
        </w:rPr>
        <w:t>quite cumbersome</w:t>
      </w:r>
      <w:r>
        <w:rPr>
          <w:rFonts w:ascii="Arial" w:hAnsi="Arial" w:cs="Arial"/>
        </w:rPr>
        <w:t>.</w:t>
      </w:r>
    </w:p>
    <w:p w14:paraId="5914D86F" w14:textId="0B125FB7" w:rsidR="004035CC" w:rsidRPr="00281DDA" w:rsidRDefault="00386FEB" w:rsidP="00FC0C6D">
      <w:pPr>
        <w:pStyle w:val="Proposal"/>
      </w:pPr>
      <w:bookmarkStart w:id="10" w:name="_Toc68205385"/>
      <w:r>
        <w:t xml:space="preserve">DAPS </w:t>
      </w:r>
      <w:r w:rsidR="00803FF5">
        <w:t xml:space="preserve">as defined in Release 16 </w:t>
      </w:r>
      <w:r>
        <w:t>is not considered</w:t>
      </w:r>
      <w:r w:rsidR="00D17207">
        <w:t xml:space="preserve"> for IAB</w:t>
      </w:r>
      <w:r w:rsidR="00740941">
        <w:t>.</w:t>
      </w:r>
      <w:bookmarkStart w:id="11" w:name="_Toc68177645"/>
      <w:bookmarkEnd w:id="10"/>
      <w:bookmarkEnd w:id="11"/>
    </w:p>
    <w:p w14:paraId="23339723" w14:textId="58280021" w:rsidR="00C01F33" w:rsidRPr="00CE0424" w:rsidRDefault="00FD067B" w:rsidP="00CE0424">
      <w:pPr>
        <w:pStyle w:val="Heading1"/>
      </w:pPr>
      <w:r>
        <w:t xml:space="preserve">3 </w:t>
      </w:r>
      <w:r w:rsidR="00C01F33" w:rsidRPr="00CE0424">
        <w:t>Conclusion</w:t>
      </w:r>
    </w:p>
    <w:p w14:paraId="0D39E4C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CBFC37C" w14:textId="77777777" w:rsidR="00A371C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8205379" w:history="1">
        <w:r w:rsidR="00A371CC" w:rsidRPr="009428C3">
          <w:rPr>
            <w:rStyle w:val="Hyperlink"/>
            <w:noProof/>
          </w:rPr>
          <w:t>Observation 1</w:t>
        </w:r>
        <w:r w:rsidR="00A371CC">
          <w:rPr>
            <w:rFonts w:asciiTheme="minorHAnsi" w:eastAsiaTheme="minorEastAsia" w:hAnsiTheme="minorHAnsi" w:cstheme="minorBidi"/>
            <w:b w:val="0"/>
            <w:noProof/>
            <w:sz w:val="22"/>
            <w:szCs w:val="22"/>
            <w:lang w:val="sv-SE" w:eastAsia="sv-SE"/>
          </w:rPr>
          <w:tab/>
        </w:r>
        <w:r w:rsidR="00A371CC" w:rsidRPr="009428C3">
          <w:rPr>
            <w:rStyle w:val="Hyperlink"/>
            <w:noProof/>
          </w:rPr>
          <w:t>Rel-16 does not prevent the usage of CHO for IAB. An IAB node can be configured with CHO, and such IAB node can apply the CHO configuration upon declaring RLF for the link with the parent node, or upon receiving BH RLF recovery failure from the parent node or upon being configured with A3/A5 event.</w:t>
        </w:r>
      </w:hyperlink>
    </w:p>
    <w:p w14:paraId="03BB1D5B" w14:textId="77777777" w:rsidR="00A371CC" w:rsidRDefault="00E066A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5380" w:history="1">
        <w:r w:rsidR="00A371CC" w:rsidRPr="009428C3">
          <w:rPr>
            <w:rStyle w:val="Hyperlink"/>
            <w:noProof/>
          </w:rPr>
          <w:t>Observation 2</w:t>
        </w:r>
        <w:r w:rsidR="00A371CC">
          <w:rPr>
            <w:rFonts w:asciiTheme="minorHAnsi" w:eastAsiaTheme="minorEastAsia" w:hAnsiTheme="minorHAnsi" w:cstheme="minorBidi"/>
            <w:b w:val="0"/>
            <w:noProof/>
            <w:sz w:val="22"/>
            <w:szCs w:val="22"/>
            <w:lang w:val="sv-SE" w:eastAsia="sv-SE"/>
          </w:rPr>
          <w:tab/>
        </w:r>
        <w:r w:rsidR="00A371CC" w:rsidRPr="009428C3">
          <w:rPr>
            <w:rStyle w:val="Hyperlink"/>
            <w:noProof/>
          </w:rPr>
          <w:t xml:space="preserve">CHO triggering upon type-2 RLF reception might imply service interruption, signalling overhead and also bring to </w:t>
        </w:r>
        <w:r w:rsidR="00A371CC" w:rsidRPr="009428C3">
          <w:rPr>
            <w:rStyle w:val="Hyperlink"/>
            <w:rFonts w:cs="Arial"/>
            <w:noProof/>
          </w:rPr>
          <w:t>suboptimal and unnecessary topology change, especially if a type-3 RLF is then received.</w:t>
        </w:r>
      </w:hyperlink>
    </w:p>
    <w:p w14:paraId="3C61CD1A" w14:textId="77777777" w:rsidR="00A371CC" w:rsidRDefault="00E066A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5381" w:history="1">
        <w:r w:rsidR="00A371CC" w:rsidRPr="009428C3">
          <w:rPr>
            <w:rStyle w:val="Hyperlink"/>
            <w:noProof/>
          </w:rPr>
          <w:t>Observation 3</w:t>
        </w:r>
        <w:r w:rsidR="00A371CC">
          <w:rPr>
            <w:rFonts w:asciiTheme="minorHAnsi" w:eastAsiaTheme="minorEastAsia" w:hAnsiTheme="minorHAnsi" w:cstheme="minorBidi"/>
            <w:b w:val="0"/>
            <w:noProof/>
            <w:sz w:val="22"/>
            <w:szCs w:val="22"/>
            <w:lang w:val="sv-SE" w:eastAsia="sv-SE"/>
          </w:rPr>
          <w:tab/>
        </w:r>
        <w:r w:rsidR="00A371CC" w:rsidRPr="009428C3">
          <w:rPr>
            <w:rStyle w:val="Hyperlink"/>
            <w:noProof/>
          </w:rPr>
          <w:t>Descendant IAB nodes and UEs of a migrating IAB node do not change their parent node, and once the migrating IAB node attaches to a target CU upon fulfilling CHO conditions, they may be reconfigured by the target CU. This is the same as for an ordinary non-CHO migration.</w:t>
        </w:r>
      </w:hyperlink>
    </w:p>
    <w:p w14:paraId="21E720E8" w14:textId="0F063C42" w:rsidR="006E1C82" w:rsidRDefault="006F6582" w:rsidP="008E065E">
      <w:pPr>
        <w:pStyle w:val="BodyText"/>
        <w:rPr>
          <w:b/>
          <w:bCs/>
        </w:rPr>
      </w:pP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7DA196E" w14:textId="77777777" w:rsidR="00A371C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205382" w:history="1">
        <w:r w:rsidR="00A371CC" w:rsidRPr="003B49FF">
          <w:rPr>
            <w:rStyle w:val="Hyperlink"/>
            <w:noProof/>
            <w14:scene3d>
              <w14:camera w14:prst="orthographicFront"/>
              <w14:lightRig w14:rig="threePt" w14:dir="t">
                <w14:rot w14:lat="0" w14:lon="0" w14:rev="0"/>
              </w14:lightRig>
            </w14:scene3d>
          </w:rPr>
          <w:t>Proposal 1</w:t>
        </w:r>
        <w:r w:rsidR="00A371CC">
          <w:rPr>
            <w:rFonts w:asciiTheme="minorHAnsi" w:eastAsiaTheme="minorEastAsia" w:hAnsiTheme="minorHAnsi" w:cstheme="minorBidi"/>
            <w:b w:val="0"/>
            <w:noProof/>
            <w:sz w:val="22"/>
            <w:szCs w:val="22"/>
            <w:lang w:val="sv-SE" w:eastAsia="sv-SE"/>
          </w:rPr>
          <w:tab/>
        </w:r>
        <w:r w:rsidR="00A371CC" w:rsidRPr="003B49FF">
          <w:rPr>
            <w:rStyle w:val="Hyperlink"/>
            <w:rFonts w:cs="Arial"/>
            <w:noProof/>
          </w:rPr>
          <w:t>As per Rel.16 specification, an IAB node can be configured with CHO and trigger migration in the after fulfilling A3/A5 events, or upon declaring RLF for the link with the parent node, or upon receiving BH RLF recovery failure from the parent node.</w:t>
        </w:r>
      </w:hyperlink>
    </w:p>
    <w:p w14:paraId="650E6DA5" w14:textId="77777777" w:rsidR="00A371CC" w:rsidRDefault="00E066A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5383" w:history="1">
        <w:r w:rsidR="00A371CC" w:rsidRPr="003B49FF">
          <w:rPr>
            <w:rStyle w:val="Hyperlink"/>
            <w:noProof/>
            <w14:scene3d>
              <w14:camera w14:prst="orthographicFront"/>
              <w14:lightRig w14:rig="threePt" w14:dir="t">
                <w14:rot w14:lat="0" w14:lon="0" w14:rev="0"/>
              </w14:lightRig>
            </w14:scene3d>
          </w:rPr>
          <w:t>Proposal 2</w:t>
        </w:r>
        <w:r w:rsidR="00A371CC">
          <w:rPr>
            <w:rFonts w:asciiTheme="minorHAnsi" w:eastAsiaTheme="minorEastAsia" w:hAnsiTheme="minorHAnsi" w:cstheme="minorBidi"/>
            <w:b w:val="0"/>
            <w:noProof/>
            <w:sz w:val="22"/>
            <w:szCs w:val="22"/>
            <w:lang w:val="sv-SE" w:eastAsia="sv-SE"/>
          </w:rPr>
          <w:tab/>
        </w:r>
        <w:r w:rsidR="00A371CC" w:rsidRPr="003B49FF">
          <w:rPr>
            <w:rStyle w:val="Hyperlink"/>
            <w:rFonts w:cs="Arial"/>
            <w:noProof/>
          </w:rPr>
          <w:t>No IAB-specific enhancements to CHO triggering conditions are needed.</w:t>
        </w:r>
      </w:hyperlink>
    </w:p>
    <w:p w14:paraId="7591473A" w14:textId="77777777" w:rsidR="00A371CC" w:rsidRDefault="00E066A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5384" w:history="1">
        <w:r w:rsidR="00A371CC" w:rsidRPr="003B49FF">
          <w:rPr>
            <w:rStyle w:val="Hyperlink"/>
            <w:noProof/>
            <w14:scene3d>
              <w14:camera w14:prst="orthographicFront"/>
              <w14:lightRig w14:rig="threePt" w14:dir="t">
                <w14:rot w14:lat="0" w14:lon="0" w14:rev="0"/>
              </w14:lightRig>
            </w14:scene3d>
          </w:rPr>
          <w:t>Proposal 3</w:t>
        </w:r>
        <w:r w:rsidR="00A371CC">
          <w:rPr>
            <w:rFonts w:asciiTheme="minorHAnsi" w:eastAsiaTheme="minorEastAsia" w:hAnsiTheme="minorHAnsi" w:cstheme="minorBidi"/>
            <w:b w:val="0"/>
            <w:noProof/>
            <w:sz w:val="22"/>
            <w:szCs w:val="22"/>
            <w:lang w:val="sv-SE" w:eastAsia="sv-SE"/>
          </w:rPr>
          <w:tab/>
        </w:r>
        <w:r w:rsidR="00A371CC" w:rsidRPr="003B49FF">
          <w:rPr>
            <w:rStyle w:val="Hyperlink"/>
            <w:noProof/>
          </w:rPr>
          <w:t>The impact on descendant IAB nodes/UEs of a migrating IAB node is the same, irrespective of whether the migration is an ordinary migration or it is triggered by CHO.</w:t>
        </w:r>
      </w:hyperlink>
    </w:p>
    <w:p w14:paraId="616678AD" w14:textId="77777777" w:rsidR="00A371CC" w:rsidRDefault="00E066A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5385" w:history="1">
        <w:r w:rsidR="00A371CC" w:rsidRPr="003B49FF">
          <w:rPr>
            <w:rStyle w:val="Hyperlink"/>
            <w:noProof/>
            <w14:scene3d>
              <w14:camera w14:prst="orthographicFront"/>
              <w14:lightRig w14:rig="threePt" w14:dir="t">
                <w14:rot w14:lat="0" w14:lon="0" w14:rev="0"/>
              </w14:lightRig>
            </w14:scene3d>
          </w:rPr>
          <w:t>Proposal 4</w:t>
        </w:r>
        <w:r w:rsidR="00A371CC">
          <w:rPr>
            <w:rFonts w:asciiTheme="minorHAnsi" w:eastAsiaTheme="minorEastAsia" w:hAnsiTheme="minorHAnsi" w:cstheme="minorBidi"/>
            <w:b w:val="0"/>
            <w:noProof/>
            <w:sz w:val="22"/>
            <w:szCs w:val="22"/>
            <w:lang w:val="sv-SE" w:eastAsia="sv-SE"/>
          </w:rPr>
          <w:tab/>
        </w:r>
        <w:r w:rsidR="00A371CC" w:rsidRPr="003B49FF">
          <w:rPr>
            <w:rStyle w:val="Hyperlink"/>
            <w:noProof/>
          </w:rPr>
          <w:t>DAPS as defined in Release 16 is not considered for IAB.</w:t>
        </w:r>
      </w:hyperlink>
    </w:p>
    <w:p w14:paraId="256460F8" w14:textId="33306163" w:rsidR="006E1C82" w:rsidRPr="00CE0424" w:rsidRDefault="006E1C82" w:rsidP="006E1C82">
      <w:pPr>
        <w:pStyle w:val="BodyText"/>
        <w:rPr>
          <w:b/>
          <w:bCs/>
        </w:rPr>
      </w:pPr>
      <w:r>
        <w:rPr>
          <w:b/>
          <w:bCs/>
          <w:lang w:val="en-US"/>
        </w:rPr>
        <w:fldChar w:fldCharType="end"/>
      </w:r>
      <w:r w:rsidRPr="00CE0424">
        <w:rPr>
          <w:b/>
          <w:bCs/>
        </w:rPr>
        <w:t xml:space="preserve"> </w:t>
      </w:r>
    </w:p>
    <w:p w14:paraId="45955E2C" w14:textId="41B8FC11" w:rsidR="00F507D1" w:rsidRPr="00CE0424" w:rsidRDefault="00FD067B" w:rsidP="00CE0424">
      <w:pPr>
        <w:pStyle w:val="Heading1"/>
      </w:pPr>
      <w:bookmarkStart w:id="12" w:name="_In-sequence_SDU_delivery"/>
      <w:bookmarkEnd w:id="12"/>
      <w:r>
        <w:lastRenderedPageBreak/>
        <w:t xml:space="preserve">4 </w:t>
      </w:r>
      <w:r w:rsidR="00F507D1" w:rsidRPr="00CE0424">
        <w:t>References</w:t>
      </w:r>
    </w:p>
    <w:p w14:paraId="122CACAD" w14:textId="2EDB82A8" w:rsidR="003A7EF3" w:rsidRPr="009C0BC1" w:rsidRDefault="00363AEB" w:rsidP="00CE0424">
      <w:pPr>
        <w:pStyle w:val="Reference"/>
        <w:rPr>
          <w:rFonts w:cs="Arial"/>
        </w:rPr>
      </w:pPr>
      <w:bookmarkStart w:id="13" w:name="_Ref174151459"/>
      <w:bookmarkStart w:id="14" w:name="_Ref189809556"/>
      <w:bookmarkStart w:id="15" w:name="_Ref67946754"/>
      <w:r w:rsidRPr="009C0BC1">
        <w:rPr>
          <w:rFonts w:cs="Arial"/>
        </w:rPr>
        <w:t>R2-2</w:t>
      </w:r>
      <w:r w:rsidR="00C311AD" w:rsidRPr="009C0BC1">
        <w:rPr>
          <w:rFonts w:cs="Arial"/>
        </w:rPr>
        <w:t>1xxxxx</w:t>
      </w:r>
      <w:r w:rsidR="005F3025" w:rsidRPr="009C0BC1">
        <w:rPr>
          <w:rFonts w:cs="Arial"/>
        </w:rPr>
        <w:t xml:space="preserve">, </w:t>
      </w:r>
      <w:bookmarkEnd w:id="13"/>
      <w:bookmarkEnd w:id="14"/>
      <w:r w:rsidR="00C311AD">
        <w:rPr>
          <w:rFonts w:cs="Arial"/>
        </w:rPr>
        <w:t>[Post113-e][057][ IAB17] CHO and DAPS for IAB (CATT), CATT (Rapporteur)</w:t>
      </w:r>
      <w:bookmarkEnd w:id="15"/>
    </w:p>
    <w:p w14:paraId="36302154" w14:textId="2ADA76CD" w:rsidR="009C0BC1" w:rsidRPr="009C0BC1" w:rsidRDefault="009C0BC1" w:rsidP="00CE0424">
      <w:pPr>
        <w:pStyle w:val="Reference"/>
        <w:rPr>
          <w:rFonts w:cs="Arial"/>
        </w:rPr>
      </w:pPr>
      <w:bookmarkStart w:id="16" w:name="_Ref68204680"/>
      <w:r w:rsidRPr="009C0BC1">
        <w:rPr>
          <w:rFonts w:cs="Arial"/>
        </w:rPr>
        <w:t>R3-211326, LS on DAPS-like solution for IAB, 3GPP TSG-RAN WG3#111-e</w:t>
      </w:r>
      <w:bookmarkEnd w:id="16"/>
    </w:p>
    <w:sectPr w:rsidR="009C0BC1" w:rsidRPr="009C0BC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398279" w14:textId="77777777" w:rsidR="00E066A4" w:rsidRDefault="00E066A4">
      <w:r>
        <w:separator/>
      </w:r>
    </w:p>
  </w:endnote>
  <w:endnote w:type="continuationSeparator" w:id="0">
    <w:p w14:paraId="0D7EA607" w14:textId="77777777" w:rsidR="00E066A4" w:rsidRDefault="00E066A4">
      <w:r>
        <w:continuationSeparator/>
      </w:r>
    </w:p>
  </w:endnote>
  <w:endnote w:type="continuationNotice" w:id="1">
    <w:p w14:paraId="6AB05CD3" w14:textId="77777777" w:rsidR="00E066A4" w:rsidRDefault="00E066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06997" w14:textId="77777777" w:rsidR="00955AEE" w:rsidRDefault="00955A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B2C26" w14:textId="77777777" w:rsidR="00E066A4" w:rsidRDefault="00E066A4">
      <w:r>
        <w:separator/>
      </w:r>
    </w:p>
  </w:footnote>
  <w:footnote w:type="continuationSeparator" w:id="0">
    <w:p w14:paraId="32694E23" w14:textId="77777777" w:rsidR="00E066A4" w:rsidRDefault="00E066A4">
      <w:r>
        <w:continuationSeparator/>
      </w:r>
    </w:p>
  </w:footnote>
  <w:footnote w:type="continuationNotice" w:id="1">
    <w:p w14:paraId="21E2D94A" w14:textId="77777777" w:rsidR="00E066A4" w:rsidRDefault="00E066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46343" w14:textId="77777777" w:rsidR="00955AEE" w:rsidRDefault="00955A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3A202AAA">
      <w:start w:val="1"/>
      <w:numFmt w:val="lowerRoman"/>
      <w:pStyle w:val="ListNumber3"/>
      <w:lvlText w:val="%1."/>
      <w:lvlJc w:val="right"/>
      <w:pPr>
        <w:ind w:left="926" w:hanging="360"/>
      </w:pPr>
    </w:lvl>
    <w:lvl w:ilvl="1" w:tplc="372E4826">
      <w:numFmt w:val="decimal"/>
      <w:lvlText w:val=""/>
      <w:lvlJc w:val="left"/>
    </w:lvl>
    <w:lvl w:ilvl="2" w:tplc="5AA03FC0">
      <w:numFmt w:val="decimal"/>
      <w:lvlText w:val=""/>
      <w:lvlJc w:val="left"/>
    </w:lvl>
    <w:lvl w:ilvl="3" w:tplc="3274E614">
      <w:numFmt w:val="decimal"/>
      <w:lvlText w:val=""/>
      <w:lvlJc w:val="left"/>
    </w:lvl>
    <w:lvl w:ilvl="4" w:tplc="444EE310">
      <w:numFmt w:val="decimal"/>
      <w:lvlText w:val=""/>
      <w:lvlJc w:val="left"/>
    </w:lvl>
    <w:lvl w:ilvl="5" w:tplc="91B2D572">
      <w:numFmt w:val="decimal"/>
      <w:lvlText w:val=""/>
      <w:lvlJc w:val="left"/>
    </w:lvl>
    <w:lvl w:ilvl="6" w:tplc="0A060008">
      <w:numFmt w:val="decimal"/>
      <w:lvlText w:val=""/>
      <w:lvlJc w:val="left"/>
    </w:lvl>
    <w:lvl w:ilvl="7" w:tplc="A7F87BF4">
      <w:numFmt w:val="decimal"/>
      <w:lvlText w:val=""/>
      <w:lvlJc w:val="left"/>
    </w:lvl>
    <w:lvl w:ilvl="8" w:tplc="CE58A632">
      <w:numFmt w:val="decimal"/>
      <w:lvlText w:val=""/>
      <w:lvlJc w:val="left"/>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D12F93"/>
    <w:multiLevelType w:val="multilevel"/>
    <w:tmpl w:val="B920B024"/>
    <w:lvl w:ilvl="0">
      <w:start w:val="2"/>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9653D4"/>
    <w:multiLevelType w:val="hybridMultilevel"/>
    <w:tmpl w:val="5A724AC6"/>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AD4EBC"/>
    <w:multiLevelType w:val="hybridMultilevel"/>
    <w:tmpl w:val="939E81F6"/>
    <w:lvl w:ilvl="0" w:tplc="CA9093C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CBFC2DC4"/>
    <w:lvl w:ilvl="0" w:tplc="31E46CF6">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24126"/>
    <w:multiLevelType w:val="multilevel"/>
    <w:tmpl w:val="19449FA2"/>
    <w:lvl w:ilvl="0">
      <w:start w:val="2"/>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3C6FBF"/>
    <w:multiLevelType w:val="hybridMultilevel"/>
    <w:tmpl w:val="874E1A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3394334"/>
    <w:multiLevelType w:val="hybridMultilevel"/>
    <w:tmpl w:val="C6E619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6"/>
  </w:num>
  <w:num w:numId="5">
    <w:abstractNumId w:val="11"/>
  </w:num>
  <w:num w:numId="6">
    <w:abstractNumId w:val="18"/>
  </w:num>
  <w:num w:numId="7">
    <w:abstractNumId w:val="22"/>
  </w:num>
  <w:num w:numId="8">
    <w:abstractNumId w:val="12"/>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7"/>
  </w:num>
  <w:num w:numId="18">
    <w:abstractNumId w:val="8"/>
  </w:num>
  <w:num w:numId="19">
    <w:abstractNumId w:val="6"/>
  </w:num>
  <w:num w:numId="20">
    <w:abstractNumId w:val="28"/>
  </w:num>
  <w:num w:numId="21">
    <w:abstractNumId w:val="13"/>
  </w:num>
  <w:num w:numId="22">
    <w:abstractNumId w:val="2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0"/>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5"/>
  </w:num>
  <w:num w:numId="30">
    <w:abstractNumId w:val="5"/>
  </w:num>
  <w:num w:numId="31">
    <w:abstractNumId w:val="24"/>
  </w:num>
  <w:num w:numId="32">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837"/>
    <w:rsid w:val="00002A37"/>
    <w:rsid w:val="000052B8"/>
    <w:rsid w:val="000053BB"/>
    <w:rsid w:val="0000564C"/>
    <w:rsid w:val="00006446"/>
    <w:rsid w:val="0000650A"/>
    <w:rsid w:val="00006896"/>
    <w:rsid w:val="00007CDC"/>
    <w:rsid w:val="0001025A"/>
    <w:rsid w:val="00010429"/>
    <w:rsid w:val="00011B28"/>
    <w:rsid w:val="00012353"/>
    <w:rsid w:val="00015D15"/>
    <w:rsid w:val="000234C9"/>
    <w:rsid w:val="0002564D"/>
    <w:rsid w:val="00025ECA"/>
    <w:rsid w:val="000325B8"/>
    <w:rsid w:val="0003291C"/>
    <w:rsid w:val="00034C15"/>
    <w:rsid w:val="00036BA1"/>
    <w:rsid w:val="000422E2"/>
    <w:rsid w:val="00042F22"/>
    <w:rsid w:val="000444EF"/>
    <w:rsid w:val="00047615"/>
    <w:rsid w:val="00052A07"/>
    <w:rsid w:val="000534E3"/>
    <w:rsid w:val="0005606A"/>
    <w:rsid w:val="00057117"/>
    <w:rsid w:val="000608F6"/>
    <w:rsid w:val="000616E7"/>
    <w:rsid w:val="000645D9"/>
    <w:rsid w:val="0006487E"/>
    <w:rsid w:val="0006598B"/>
    <w:rsid w:val="00065B99"/>
    <w:rsid w:val="00065E1A"/>
    <w:rsid w:val="00075D17"/>
    <w:rsid w:val="00076BC7"/>
    <w:rsid w:val="00077E5F"/>
    <w:rsid w:val="0008036A"/>
    <w:rsid w:val="000805C8"/>
    <w:rsid w:val="000806D0"/>
    <w:rsid w:val="00081AE6"/>
    <w:rsid w:val="00082089"/>
    <w:rsid w:val="0008412E"/>
    <w:rsid w:val="000855EB"/>
    <w:rsid w:val="00085B52"/>
    <w:rsid w:val="000866F2"/>
    <w:rsid w:val="00087C6E"/>
    <w:rsid w:val="0009009F"/>
    <w:rsid w:val="00091483"/>
    <w:rsid w:val="00091557"/>
    <w:rsid w:val="000924C1"/>
    <w:rsid w:val="000924F0"/>
    <w:rsid w:val="00093474"/>
    <w:rsid w:val="0009510F"/>
    <w:rsid w:val="000976B1"/>
    <w:rsid w:val="000A0ED8"/>
    <w:rsid w:val="000A1405"/>
    <w:rsid w:val="000A1B7B"/>
    <w:rsid w:val="000A4FB0"/>
    <w:rsid w:val="000A56F2"/>
    <w:rsid w:val="000A7C4D"/>
    <w:rsid w:val="000B1E59"/>
    <w:rsid w:val="000B2719"/>
    <w:rsid w:val="000B27AF"/>
    <w:rsid w:val="000B3A8F"/>
    <w:rsid w:val="000B4AB9"/>
    <w:rsid w:val="000B58C3"/>
    <w:rsid w:val="000B61E9"/>
    <w:rsid w:val="000C165A"/>
    <w:rsid w:val="000C2E19"/>
    <w:rsid w:val="000C6360"/>
    <w:rsid w:val="000C6B33"/>
    <w:rsid w:val="000D0537"/>
    <w:rsid w:val="000D0D07"/>
    <w:rsid w:val="000D290D"/>
    <w:rsid w:val="000D4797"/>
    <w:rsid w:val="000E0527"/>
    <w:rsid w:val="000E1E92"/>
    <w:rsid w:val="000E28B8"/>
    <w:rsid w:val="000E395D"/>
    <w:rsid w:val="000E49EB"/>
    <w:rsid w:val="000E5504"/>
    <w:rsid w:val="000E5CAA"/>
    <w:rsid w:val="000F0461"/>
    <w:rsid w:val="000F06D6"/>
    <w:rsid w:val="000F0EB1"/>
    <w:rsid w:val="000F1106"/>
    <w:rsid w:val="000F3BE9"/>
    <w:rsid w:val="000F3F6C"/>
    <w:rsid w:val="000F6DF3"/>
    <w:rsid w:val="001005FF"/>
    <w:rsid w:val="00100C45"/>
    <w:rsid w:val="00103569"/>
    <w:rsid w:val="00103B8B"/>
    <w:rsid w:val="001062FB"/>
    <w:rsid w:val="001063E6"/>
    <w:rsid w:val="00113CF4"/>
    <w:rsid w:val="00114B8F"/>
    <w:rsid w:val="001153EA"/>
    <w:rsid w:val="00115446"/>
    <w:rsid w:val="00115643"/>
    <w:rsid w:val="00115B4F"/>
    <w:rsid w:val="00115DA0"/>
    <w:rsid w:val="00116765"/>
    <w:rsid w:val="00117835"/>
    <w:rsid w:val="001219F5"/>
    <w:rsid w:val="00121A20"/>
    <w:rsid w:val="0012377F"/>
    <w:rsid w:val="00124314"/>
    <w:rsid w:val="00126B4A"/>
    <w:rsid w:val="0013024F"/>
    <w:rsid w:val="00130F1F"/>
    <w:rsid w:val="00132FD0"/>
    <w:rsid w:val="00133709"/>
    <w:rsid w:val="00133FBF"/>
    <w:rsid w:val="001344C0"/>
    <w:rsid w:val="001346FA"/>
    <w:rsid w:val="00135252"/>
    <w:rsid w:val="00137AB5"/>
    <w:rsid w:val="00137F0B"/>
    <w:rsid w:val="0014318B"/>
    <w:rsid w:val="00146D96"/>
    <w:rsid w:val="00151E23"/>
    <w:rsid w:val="001526E0"/>
    <w:rsid w:val="001551B5"/>
    <w:rsid w:val="0015544D"/>
    <w:rsid w:val="00155B3E"/>
    <w:rsid w:val="00156FB3"/>
    <w:rsid w:val="00160B2D"/>
    <w:rsid w:val="0016564C"/>
    <w:rsid w:val="001659C1"/>
    <w:rsid w:val="00167809"/>
    <w:rsid w:val="00173A8E"/>
    <w:rsid w:val="00173D80"/>
    <w:rsid w:val="00173F04"/>
    <w:rsid w:val="001741AF"/>
    <w:rsid w:val="0017502C"/>
    <w:rsid w:val="0017672B"/>
    <w:rsid w:val="0018143F"/>
    <w:rsid w:val="00181FF8"/>
    <w:rsid w:val="001822C7"/>
    <w:rsid w:val="001837C9"/>
    <w:rsid w:val="00184E86"/>
    <w:rsid w:val="00187AED"/>
    <w:rsid w:val="00190AC1"/>
    <w:rsid w:val="001914B4"/>
    <w:rsid w:val="0019255D"/>
    <w:rsid w:val="0019341A"/>
    <w:rsid w:val="0019541C"/>
    <w:rsid w:val="00197C2F"/>
    <w:rsid w:val="00197DF9"/>
    <w:rsid w:val="001A1987"/>
    <w:rsid w:val="001A2564"/>
    <w:rsid w:val="001A364A"/>
    <w:rsid w:val="001A4390"/>
    <w:rsid w:val="001A6173"/>
    <w:rsid w:val="001A6CBA"/>
    <w:rsid w:val="001B0D97"/>
    <w:rsid w:val="001B1A5F"/>
    <w:rsid w:val="001B44D9"/>
    <w:rsid w:val="001B5A5D"/>
    <w:rsid w:val="001B7CE1"/>
    <w:rsid w:val="001C0905"/>
    <w:rsid w:val="001C1CE5"/>
    <w:rsid w:val="001C3D2A"/>
    <w:rsid w:val="001C5D07"/>
    <w:rsid w:val="001D24AD"/>
    <w:rsid w:val="001D51BA"/>
    <w:rsid w:val="001D53E7"/>
    <w:rsid w:val="001D6342"/>
    <w:rsid w:val="001D6D53"/>
    <w:rsid w:val="001D7E05"/>
    <w:rsid w:val="001E4827"/>
    <w:rsid w:val="001E58E2"/>
    <w:rsid w:val="001E7AED"/>
    <w:rsid w:val="001F0846"/>
    <w:rsid w:val="001F3190"/>
    <w:rsid w:val="001F3916"/>
    <w:rsid w:val="001F54C5"/>
    <w:rsid w:val="001F662C"/>
    <w:rsid w:val="001F7074"/>
    <w:rsid w:val="00200490"/>
    <w:rsid w:val="00200611"/>
    <w:rsid w:val="0020124D"/>
    <w:rsid w:val="00201F3A"/>
    <w:rsid w:val="00203F96"/>
    <w:rsid w:val="00205B01"/>
    <w:rsid w:val="002069B2"/>
    <w:rsid w:val="00207FA3"/>
    <w:rsid w:val="002109CA"/>
    <w:rsid w:val="00211FB4"/>
    <w:rsid w:val="00214DA8"/>
    <w:rsid w:val="00215423"/>
    <w:rsid w:val="002158FA"/>
    <w:rsid w:val="00220600"/>
    <w:rsid w:val="0022090A"/>
    <w:rsid w:val="002224DB"/>
    <w:rsid w:val="00223FCB"/>
    <w:rsid w:val="002252C3"/>
    <w:rsid w:val="00225C54"/>
    <w:rsid w:val="002263EE"/>
    <w:rsid w:val="00226CD7"/>
    <w:rsid w:val="00230765"/>
    <w:rsid w:val="00230D18"/>
    <w:rsid w:val="002319E4"/>
    <w:rsid w:val="00235632"/>
    <w:rsid w:val="00235872"/>
    <w:rsid w:val="00241559"/>
    <w:rsid w:val="002435B3"/>
    <w:rsid w:val="00244BA3"/>
    <w:rsid w:val="0024551C"/>
    <w:rsid w:val="002458EB"/>
    <w:rsid w:val="0024609C"/>
    <w:rsid w:val="002500C8"/>
    <w:rsid w:val="00251442"/>
    <w:rsid w:val="00257543"/>
    <w:rsid w:val="002617E7"/>
    <w:rsid w:val="00261919"/>
    <w:rsid w:val="002626C9"/>
    <w:rsid w:val="00262EE4"/>
    <w:rsid w:val="00264228"/>
    <w:rsid w:val="00264334"/>
    <w:rsid w:val="0026473E"/>
    <w:rsid w:val="00266214"/>
    <w:rsid w:val="00267C83"/>
    <w:rsid w:val="00267F7A"/>
    <w:rsid w:val="002712B4"/>
    <w:rsid w:val="0027144F"/>
    <w:rsid w:val="00271813"/>
    <w:rsid w:val="00271F3A"/>
    <w:rsid w:val="00273278"/>
    <w:rsid w:val="002737F4"/>
    <w:rsid w:val="002805F5"/>
    <w:rsid w:val="00280751"/>
    <w:rsid w:val="00280FEC"/>
    <w:rsid w:val="00281DDA"/>
    <w:rsid w:val="0028280A"/>
    <w:rsid w:val="00285150"/>
    <w:rsid w:val="00286ACD"/>
    <w:rsid w:val="00287838"/>
    <w:rsid w:val="00287EBF"/>
    <w:rsid w:val="002907B5"/>
    <w:rsid w:val="00292EB7"/>
    <w:rsid w:val="00296227"/>
    <w:rsid w:val="00296F44"/>
    <w:rsid w:val="0029777D"/>
    <w:rsid w:val="002A055E"/>
    <w:rsid w:val="002A1BB6"/>
    <w:rsid w:val="002A1D4E"/>
    <w:rsid w:val="002A2869"/>
    <w:rsid w:val="002B24D6"/>
    <w:rsid w:val="002B3676"/>
    <w:rsid w:val="002B3FEA"/>
    <w:rsid w:val="002B40A6"/>
    <w:rsid w:val="002B59D1"/>
    <w:rsid w:val="002C0ACF"/>
    <w:rsid w:val="002C16A2"/>
    <w:rsid w:val="002C41E6"/>
    <w:rsid w:val="002D071A"/>
    <w:rsid w:val="002D1500"/>
    <w:rsid w:val="002D34B2"/>
    <w:rsid w:val="002D48B0"/>
    <w:rsid w:val="002D5B37"/>
    <w:rsid w:val="002D5C4B"/>
    <w:rsid w:val="002D7637"/>
    <w:rsid w:val="002E165F"/>
    <w:rsid w:val="002E17F2"/>
    <w:rsid w:val="002E25B4"/>
    <w:rsid w:val="002E3CDD"/>
    <w:rsid w:val="002E4853"/>
    <w:rsid w:val="002E5634"/>
    <w:rsid w:val="002E7B39"/>
    <w:rsid w:val="002E7CAE"/>
    <w:rsid w:val="002F2771"/>
    <w:rsid w:val="002F37A9"/>
    <w:rsid w:val="00301CE6"/>
    <w:rsid w:val="0030256B"/>
    <w:rsid w:val="0030292B"/>
    <w:rsid w:val="00304913"/>
    <w:rsid w:val="00304B50"/>
    <w:rsid w:val="0030501F"/>
    <w:rsid w:val="00307BA1"/>
    <w:rsid w:val="00311702"/>
    <w:rsid w:val="00311E82"/>
    <w:rsid w:val="00313E2B"/>
    <w:rsid w:val="00313EDF"/>
    <w:rsid w:val="00313FD6"/>
    <w:rsid w:val="003143BD"/>
    <w:rsid w:val="00315363"/>
    <w:rsid w:val="00315DE1"/>
    <w:rsid w:val="003203ED"/>
    <w:rsid w:val="00322C9F"/>
    <w:rsid w:val="00324346"/>
    <w:rsid w:val="00324D23"/>
    <w:rsid w:val="00324FBE"/>
    <w:rsid w:val="003252C6"/>
    <w:rsid w:val="00326D36"/>
    <w:rsid w:val="00331751"/>
    <w:rsid w:val="00334579"/>
    <w:rsid w:val="00335858"/>
    <w:rsid w:val="00336BDA"/>
    <w:rsid w:val="0034073A"/>
    <w:rsid w:val="00342BD7"/>
    <w:rsid w:val="0034470A"/>
    <w:rsid w:val="00346DB5"/>
    <w:rsid w:val="003477B1"/>
    <w:rsid w:val="00357380"/>
    <w:rsid w:val="003602D9"/>
    <w:rsid w:val="003604CE"/>
    <w:rsid w:val="00361CE3"/>
    <w:rsid w:val="00362265"/>
    <w:rsid w:val="00363AEB"/>
    <w:rsid w:val="00367A68"/>
    <w:rsid w:val="0037046E"/>
    <w:rsid w:val="00370E47"/>
    <w:rsid w:val="003716D9"/>
    <w:rsid w:val="003742AC"/>
    <w:rsid w:val="00376C21"/>
    <w:rsid w:val="00377CE1"/>
    <w:rsid w:val="0038113E"/>
    <w:rsid w:val="0038133C"/>
    <w:rsid w:val="003836ED"/>
    <w:rsid w:val="00384584"/>
    <w:rsid w:val="00385BF0"/>
    <w:rsid w:val="00386FEB"/>
    <w:rsid w:val="00392B1C"/>
    <w:rsid w:val="003939FF"/>
    <w:rsid w:val="00394A05"/>
    <w:rsid w:val="003A2223"/>
    <w:rsid w:val="003A2A0F"/>
    <w:rsid w:val="003A3D71"/>
    <w:rsid w:val="003A45A1"/>
    <w:rsid w:val="003A4A23"/>
    <w:rsid w:val="003A5B0A"/>
    <w:rsid w:val="003A61DE"/>
    <w:rsid w:val="003A6BAC"/>
    <w:rsid w:val="003A70A4"/>
    <w:rsid w:val="003A7EF3"/>
    <w:rsid w:val="003B04C1"/>
    <w:rsid w:val="003B159C"/>
    <w:rsid w:val="003B369F"/>
    <w:rsid w:val="003B36A3"/>
    <w:rsid w:val="003B4A01"/>
    <w:rsid w:val="003B64BB"/>
    <w:rsid w:val="003B6796"/>
    <w:rsid w:val="003B7216"/>
    <w:rsid w:val="003B7FE5"/>
    <w:rsid w:val="003C11C8"/>
    <w:rsid w:val="003C1C71"/>
    <w:rsid w:val="003C2702"/>
    <w:rsid w:val="003C4E93"/>
    <w:rsid w:val="003C5584"/>
    <w:rsid w:val="003C7806"/>
    <w:rsid w:val="003D109F"/>
    <w:rsid w:val="003D2478"/>
    <w:rsid w:val="003D268D"/>
    <w:rsid w:val="003D3C45"/>
    <w:rsid w:val="003D5B1F"/>
    <w:rsid w:val="003E01EB"/>
    <w:rsid w:val="003E07BF"/>
    <w:rsid w:val="003E15FA"/>
    <w:rsid w:val="003E2B53"/>
    <w:rsid w:val="003E55E4"/>
    <w:rsid w:val="003E74E3"/>
    <w:rsid w:val="003F05C7"/>
    <w:rsid w:val="003F2CD4"/>
    <w:rsid w:val="003F4121"/>
    <w:rsid w:val="003F53D1"/>
    <w:rsid w:val="003F6BBE"/>
    <w:rsid w:val="003F71AA"/>
    <w:rsid w:val="004000BE"/>
    <w:rsid w:val="004000E8"/>
    <w:rsid w:val="00402E2B"/>
    <w:rsid w:val="004035CC"/>
    <w:rsid w:val="0040512B"/>
    <w:rsid w:val="00405CA5"/>
    <w:rsid w:val="00407CD3"/>
    <w:rsid w:val="00407F94"/>
    <w:rsid w:val="00410134"/>
    <w:rsid w:val="00410B72"/>
    <w:rsid w:val="00410F18"/>
    <w:rsid w:val="00411B81"/>
    <w:rsid w:val="00411C9F"/>
    <w:rsid w:val="0041263E"/>
    <w:rsid w:val="0041340C"/>
    <w:rsid w:val="00413AAC"/>
    <w:rsid w:val="00413E92"/>
    <w:rsid w:val="00421105"/>
    <w:rsid w:val="00422AA4"/>
    <w:rsid w:val="004234A6"/>
    <w:rsid w:val="00423B81"/>
    <w:rsid w:val="004242F4"/>
    <w:rsid w:val="0042487B"/>
    <w:rsid w:val="00424EEF"/>
    <w:rsid w:val="00425710"/>
    <w:rsid w:val="00427248"/>
    <w:rsid w:val="0042748E"/>
    <w:rsid w:val="00431105"/>
    <w:rsid w:val="004317F2"/>
    <w:rsid w:val="00434203"/>
    <w:rsid w:val="00437447"/>
    <w:rsid w:val="00441989"/>
    <w:rsid w:val="00441A92"/>
    <w:rsid w:val="00441EC1"/>
    <w:rsid w:val="00441F0F"/>
    <w:rsid w:val="004431DC"/>
    <w:rsid w:val="00444F56"/>
    <w:rsid w:val="004459B8"/>
    <w:rsid w:val="00446488"/>
    <w:rsid w:val="004517AA"/>
    <w:rsid w:val="00452CAC"/>
    <w:rsid w:val="004557ED"/>
    <w:rsid w:val="00456F16"/>
    <w:rsid w:val="00457565"/>
    <w:rsid w:val="00457B71"/>
    <w:rsid w:val="00460744"/>
    <w:rsid w:val="004669A1"/>
    <w:rsid w:val="004669E2"/>
    <w:rsid w:val="00470C31"/>
    <w:rsid w:val="00471740"/>
    <w:rsid w:val="00471DE0"/>
    <w:rsid w:val="00472F63"/>
    <w:rsid w:val="004734D0"/>
    <w:rsid w:val="0047556B"/>
    <w:rsid w:val="00476EE8"/>
    <w:rsid w:val="00477768"/>
    <w:rsid w:val="00485192"/>
    <w:rsid w:val="00490600"/>
    <w:rsid w:val="00492343"/>
    <w:rsid w:val="00492BC5"/>
    <w:rsid w:val="004932E3"/>
    <w:rsid w:val="004964F1"/>
    <w:rsid w:val="004A16BC"/>
    <w:rsid w:val="004A2B94"/>
    <w:rsid w:val="004A4E9A"/>
    <w:rsid w:val="004B128F"/>
    <w:rsid w:val="004B3644"/>
    <w:rsid w:val="004B4561"/>
    <w:rsid w:val="004B6F6A"/>
    <w:rsid w:val="004B7C0C"/>
    <w:rsid w:val="004C3898"/>
    <w:rsid w:val="004C5862"/>
    <w:rsid w:val="004D23FC"/>
    <w:rsid w:val="004D240C"/>
    <w:rsid w:val="004D36B1"/>
    <w:rsid w:val="004D7EBD"/>
    <w:rsid w:val="004E08CD"/>
    <w:rsid w:val="004E2680"/>
    <w:rsid w:val="004E28F9"/>
    <w:rsid w:val="004E462E"/>
    <w:rsid w:val="004E56DC"/>
    <w:rsid w:val="004E76F4"/>
    <w:rsid w:val="004F0B4E"/>
    <w:rsid w:val="004F0B6C"/>
    <w:rsid w:val="004F158D"/>
    <w:rsid w:val="004F2078"/>
    <w:rsid w:val="004F3B6B"/>
    <w:rsid w:val="004F4DA3"/>
    <w:rsid w:val="004F51EA"/>
    <w:rsid w:val="004F6915"/>
    <w:rsid w:val="005026F6"/>
    <w:rsid w:val="00506557"/>
    <w:rsid w:val="0050677A"/>
    <w:rsid w:val="00506F8F"/>
    <w:rsid w:val="005108D8"/>
    <w:rsid w:val="005111E8"/>
    <w:rsid w:val="005116F9"/>
    <w:rsid w:val="00513083"/>
    <w:rsid w:val="005143DD"/>
    <w:rsid w:val="00514529"/>
    <w:rsid w:val="005153A7"/>
    <w:rsid w:val="005219CF"/>
    <w:rsid w:val="00523A0A"/>
    <w:rsid w:val="005278A4"/>
    <w:rsid w:val="0053194F"/>
    <w:rsid w:val="00531F68"/>
    <w:rsid w:val="00532AA6"/>
    <w:rsid w:val="00534B59"/>
    <w:rsid w:val="00536759"/>
    <w:rsid w:val="00537C62"/>
    <w:rsid w:val="00542C9F"/>
    <w:rsid w:val="00545D47"/>
    <w:rsid w:val="00546970"/>
    <w:rsid w:val="005501D0"/>
    <w:rsid w:val="00554555"/>
    <w:rsid w:val="00554E19"/>
    <w:rsid w:val="00555291"/>
    <w:rsid w:val="0055700A"/>
    <w:rsid w:val="005609EB"/>
    <w:rsid w:val="0056121F"/>
    <w:rsid w:val="005674F1"/>
    <w:rsid w:val="00567D8F"/>
    <w:rsid w:val="00571139"/>
    <w:rsid w:val="0057134A"/>
    <w:rsid w:val="00571ABC"/>
    <w:rsid w:val="00572505"/>
    <w:rsid w:val="0058229A"/>
    <w:rsid w:val="00582809"/>
    <w:rsid w:val="00583A11"/>
    <w:rsid w:val="005844EE"/>
    <w:rsid w:val="00586B96"/>
    <w:rsid w:val="00587605"/>
    <w:rsid w:val="0058798C"/>
    <w:rsid w:val="00587BAA"/>
    <w:rsid w:val="005900FA"/>
    <w:rsid w:val="005902D9"/>
    <w:rsid w:val="005935A4"/>
    <w:rsid w:val="005948C2"/>
    <w:rsid w:val="00594A12"/>
    <w:rsid w:val="00595DCA"/>
    <w:rsid w:val="0059779B"/>
    <w:rsid w:val="005A209A"/>
    <w:rsid w:val="005A50FC"/>
    <w:rsid w:val="005A662D"/>
    <w:rsid w:val="005B0C85"/>
    <w:rsid w:val="005B0E4C"/>
    <w:rsid w:val="005B1409"/>
    <w:rsid w:val="005B35D7"/>
    <w:rsid w:val="005B392A"/>
    <w:rsid w:val="005B3AA3"/>
    <w:rsid w:val="005B4B0C"/>
    <w:rsid w:val="005B5393"/>
    <w:rsid w:val="005B67CD"/>
    <w:rsid w:val="005B6F83"/>
    <w:rsid w:val="005C1868"/>
    <w:rsid w:val="005C34AB"/>
    <w:rsid w:val="005C4762"/>
    <w:rsid w:val="005C74FB"/>
    <w:rsid w:val="005D1602"/>
    <w:rsid w:val="005E1B73"/>
    <w:rsid w:val="005E28CF"/>
    <w:rsid w:val="005E385F"/>
    <w:rsid w:val="005E3FDB"/>
    <w:rsid w:val="005E5B81"/>
    <w:rsid w:val="005E7BAB"/>
    <w:rsid w:val="005F2CB1"/>
    <w:rsid w:val="005F3025"/>
    <w:rsid w:val="005F5471"/>
    <w:rsid w:val="005F618C"/>
    <w:rsid w:val="005F6B2F"/>
    <w:rsid w:val="005F70BD"/>
    <w:rsid w:val="006006CA"/>
    <w:rsid w:val="0060283C"/>
    <w:rsid w:val="00603ED6"/>
    <w:rsid w:val="00604F14"/>
    <w:rsid w:val="00605B86"/>
    <w:rsid w:val="00611B83"/>
    <w:rsid w:val="00613257"/>
    <w:rsid w:val="00620961"/>
    <w:rsid w:val="00620A71"/>
    <w:rsid w:val="00620D80"/>
    <w:rsid w:val="006234A6"/>
    <w:rsid w:val="00626A3F"/>
    <w:rsid w:val="00630001"/>
    <w:rsid w:val="006311B3"/>
    <w:rsid w:val="0063284C"/>
    <w:rsid w:val="00634553"/>
    <w:rsid w:val="00634907"/>
    <w:rsid w:val="00636398"/>
    <w:rsid w:val="006368D3"/>
    <w:rsid w:val="00636F07"/>
    <w:rsid w:val="00636F09"/>
    <w:rsid w:val="006377EC"/>
    <w:rsid w:val="00641332"/>
    <w:rsid w:val="0064151F"/>
    <w:rsid w:val="00641533"/>
    <w:rsid w:val="0064208D"/>
    <w:rsid w:val="006423AA"/>
    <w:rsid w:val="006426C6"/>
    <w:rsid w:val="00643475"/>
    <w:rsid w:val="00643800"/>
    <w:rsid w:val="0064396A"/>
    <w:rsid w:val="0064624E"/>
    <w:rsid w:val="006474D7"/>
    <w:rsid w:val="00650AB9"/>
    <w:rsid w:val="006514A9"/>
    <w:rsid w:val="00651C0D"/>
    <w:rsid w:val="006521C8"/>
    <w:rsid w:val="00653912"/>
    <w:rsid w:val="00655733"/>
    <w:rsid w:val="00655781"/>
    <w:rsid w:val="00655ACD"/>
    <w:rsid w:val="00656A92"/>
    <w:rsid w:val="00656DDE"/>
    <w:rsid w:val="00657BA6"/>
    <w:rsid w:val="0066011D"/>
    <w:rsid w:val="0066052C"/>
    <w:rsid w:val="006607C0"/>
    <w:rsid w:val="006613A6"/>
    <w:rsid w:val="00662116"/>
    <w:rsid w:val="006627A2"/>
    <w:rsid w:val="006634E6"/>
    <w:rsid w:val="00665174"/>
    <w:rsid w:val="006655EE"/>
    <w:rsid w:val="00667EE7"/>
    <w:rsid w:val="00670922"/>
    <w:rsid w:val="00670BE1"/>
    <w:rsid w:val="0067191B"/>
    <w:rsid w:val="0067218F"/>
    <w:rsid w:val="0067290C"/>
    <w:rsid w:val="006741F2"/>
    <w:rsid w:val="00674CC3"/>
    <w:rsid w:val="00675C72"/>
    <w:rsid w:val="006771F9"/>
    <w:rsid w:val="006776D7"/>
    <w:rsid w:val="00681003"/>
    <w:rsid w:val="006817C9"/>
    <w:rsid w:val="0068196E"/>
    <w:rsid w:val="00683ECE"/>
    <w:rsid w:val="0068644B"/>
    <w:rsid w:val="0069122A"/>
    <w:rsid w:val="00695FC2"/>
    <w:rsid w:val="006964AE"/>
    <w:rsid w:val="00696949"/>
    <w:rsid w:val="00696EF7"/>
    <w:rsid w:val="00697052"/>
    <w:rsid w:val="006A1EF1"/>
    <w:rsid w:val="006A26FA"/>
    <w:rsid w:val="006A3B07"/>
    <w:rsid w:val="006A46FB"/>
    <w:rsid w:val="006A5E28"/>
    <w:rsid w:val="006A5EF5"/>
    <w:rsid w:val="006A697B"/>
    <w:rsid w:val="006A7AFF"/>
    <w:rsid w:val="006B0963"/>
    <w:rsid w:val="006B177F"/>
    <w:rsid w:val="006B1816"/>
    <w:rsid w:val="006B2099"/>
    <w:rsid w:val="006B299D"/>
    <w:rsid w:val="006B50CF"/>
    <w:rsid w:val="006C03B8"/>
    <w:rsid w:val="006C0940"/>
    <w:rsid w:val="006C24D8"/>
    <w:rsid w:val="006C5EC9"/>
    <w:rsid w:val="006C6059"/>
    <w:rsid w:val="006C6C24"/>
    <w:rsid w:val="006C7522"/>
    <w:rsid w:val="006D116D"/>
    <w:rsid w:val="006D25C9"/>
    <w:rsid w:val="006D5C7C"/>
    <w:rsid w:val="006D6F08"/>
    <w:rsid w:val="006E0132"/>
    <w:rsid w:val="006E062C"/>
    <w:rsid w:val="006E0F70"/>
    <w:rsid w:val="006E1C82"/>
    <w:rsid w:val="006E28B7"/>
    <w:rsid w:val="006E2A9B"/>
    <w:rsid w:val="006E3310"/>
    <w:rsid w:val="006E4E39"/>
    <w:rsid w:val="006E50A6"/>
    <w:rsid w:val="006E565E"/>
    <w:rsid w:val="006E673D"/>
    <w:rsid w:val="006E7D3B"/>
    <w:rsid w:val="006E7E4F"/>
    <w:rsid w:val="006F0FEC"/>
    <w:rsid w:val="006F1B70"/>
    <w:rsid w:val="006F2C21"/>
    <w:rsid w:val="006F341D"/>
    <w:rsid w:val="006F3CDE"/>
    <w:rsid w:val="006F4133"/>
    <w:rsid w:val="006F58D4"/>
    <w:rsid w:val="006F5F6F"/>
    <w:rsid w:val="006F6582"/>
    <w:rsid w:val="007004B3"/>
    <w:rsid w:val="0070149C"/>
    <w:rsid w:val="0070346E"/>
    <w:rsid w:val="00704EDB"/>
    <w:rsid w:val="00706101"/>
    <w:rsid w:val="00706615"/>
    <w:rsid w:val="007069F8"/>
    <w:rsid w:val="00707072"/>
    <w:rsid w:val="00707D61"/>
    <w:rsid w:val="00710143"/>
    <w:rsid w:val="00712287"/>
    <w:rsid w:val="00712772"/>
    <w:rsid w:val="007148D3"/>
    <w:rsid w:val="00715B9A"/>
    <w:rsid w:val="00722318"/>
    <w:rsid w:val="00724170"/>
    <w:rsid w:val="007257D0"/>
    <w:rsid w:val="007264A8"/>
    <w:rsid w:val="00726EA6"/>
    <w:rsid w:val="00727208"/>
    <w:rsid w:val="00727680"/>
    <w:rsid w:val="0073026E"/>
    <w:rsid w:val="00731426"/>
    <w:rsid w:val="007348B1"/>
    <w:rsid w:val="007362A6"/>
    <w:rsid w:val="00736D7D"/>
    <w:rsid w:val="00740941"/>
    <w:rsid w:val="00740D6B"/>
    <w:rsid w:val="00740E58"/>
    <w:rsid w:val="007445A0"/>
    <w:rsid w:val="0074524B"/>
    <w:rsid w:val="00747D8B"/>
    <w:rsid w:val="00751228"/>
    <w:rsid w:val="00751B07"/>
    <w:rsid w:val="0075346B"/>
    <w:rsid w:val="007546C0"/>
    <w:rsid w:val="007560D9"/>
    <w:rsid w:val="00756503"/>
    <w:rsid w:val="00756599"/>
    <w:rsid w:val="007571E1"/>
    <w:rsid w:val="00757A16"/>
    <w:rsid w:val="007604B2"/>
    <w:rsid w:val="00765037"/>
    <w:rsid w:val="00765281"/>
    <w:rsid w:val="007661A6"/>
    <w:rsid w:val="00766BAD"/>
    <w:rsid w:val="00767227"/>
    <w:rsid w:val="007673F0"/>
    <w:rsid w:val="00772692"/>
    <w:rsid w:val="007729A2"/>
    <w:rsid w:val="007755F2"/>
    <w:rsid w:val="0077625A"/>
    <w:rsid w:val="007763DC"/>
    <w:rsid w:val="00776971"/>
    <w:rsid w:val="0078038F"/>
    <w:rsid w:val="0078069D"/>
    <w:rsid w:val="00780A80"/>
    <w:rsid w:val="0078177E"/>
    <w:rsid w:val="0078304C"/>
    <w:rsid w:val="00783673"/>
    <w:rsid w:val="00785490"/>
    <w:rsid w:val="00787F25"/>
    <w:rsid w:val="00790F0E"/>
    <w:rsid w:val="00791415"/>
    <w:rsid w:val="00791573"/>
    <w:rsid w:val="00791962"/>
    <w:rsid w:val="007925EA"/>
    <w:rsid w:val="00793CD8"/>
    <w:rsid w:val="00795C92"/>
    <w:rsid w:val="00796231"/>
    <w:rsid w:val="00797EF4"/>
    <w:rsid w:val="007A0293"/>
    <w:rsid w:val="007A1CB3"/>
    <w:rsid w:val="007A306F"/>
    <w:rsid w:val="007A317A"/>
    <w:rsid w:val="007A43A6"/>
    <w:rsid w:val="007A58A6"/>
    <w:rsid w:val="007A5B37"/>
    <w:rsid w:val="007B3C76"/>
    <w:rsid w:val="007B3D2D"/>
    <w:rsid w:val="007B50AE"/>
    <w:rsid w:val="007B51DF"/>
    <w:rsid w:val="007B529F"/>
    <w:rsid w:val="007C05DD"/>
    <w:rsid w:val="007C209F"/>
    <w:rsid w:val="007C3D18"/>
    <w:rsid w:val="007C60BF"/>
    <w:rsid w:val="007C6A07"/>
    <w:rsid w:val="007C75A1"/>
    <w:rsid w:val="007C77A5"/>
    <w:rsid w:val="007D00C9"/>
    <w:rsid w:val="007D04E5"/>
    <w:rsid w:val="007D2AE2"/>
    <w:rsid w:val="007D5901"/>
    <w:rsid w:val="007D7526"/>
    <w:rsid w:val="007D7CB3"/>
    <w:rsid w:val="007E4610"/>
    <w:rsid w:val="007E4715"/>
    <w:rsid w:val="007E505B"/>
    <w:rsid w:val="007E7091"/>
    <w:rsid w:val="007F190A"/>
    <w:rsid w:val="007F1C3C"/>
    <w:rsid w:val="007F516E"/>
    <w:rsid w:val="00800AD4"/>
    <w:rsid w:val="00803FAE"/>
    <w:rsid w:val="00803FF5"/>
    <w:rsid w:val="00804152"/>
    <w:rsid w:val="0080605F"/>
    <w:rsid w:val="00807786"/>
    <w:rsid w:val="00810D6F"/>
    <w:rsid w:val="00811F4E"/>
    <w:rsid w:val="00811FCB"/>
    <w:rsid w:val="00814E94"/>
    <w:rsid w:val="008158D6"/>
    <w:rsid w:val="00816410"/>
    <w:rsid w:val="00817196"/>
    <w:rsid w:val="00817D2F"/>
    <w:rsid w:val="008235DB"/>
    <w:rsid w:val="00824AB4"/>
    <w:rsid w:val="00825C42"/>
    <w:rsid w:val="00825D25"/>
    <w:rsid w:val="00827D6F"/>
    <w:rsid w:val="00830A35"/>
    <w:rsid w:val="00832F93"/>
    <w:rsid w:val="00834D9A"/>
    <w:rsid w:val="00836335"/>
    <w:rsid w:val="0083731F"/>
    <w:rsid w:val="00837596"/>
    <w:rsid w:val="008376AC"/>
    <w:rsid w:val="00841806"/>
    <w:rsid w:val="00843E8F"/>
    <w:rsid w:val="008444E8"/>
    <w:rsid w:val="00844E80"/>
    <w:rsid w:val="00846FE7"/>
    <w:rsid w:val="00851EA6"/>
    <w:rsid w:val="008545B1"/>
    <w:rsid w:val="00856911"/>
    <w:rsid w:val="00862A41"/>
    <w:rsid w:val="0086768A"/>
    <w:rsid w:val="008677FD"/>
    <w:rsid w:val="008706D4"/>
    <w:rsid w:val="00870F8A"/>
    <w:rsid w:val="008719A4"/>
    <w:rsid w:val="00871D23"/>
    <w:rsid w:val="00873670"/>
    <w:rsid w:val="0087378C"/>
    <w:rsid w:val="00874312"/>
    <w:rsid w:val="0087437C"/>
    <w:rsid w:val="00874F56"/>
    <w:rsid w:val="00875CD7"/>
    <w:rsid w:val="00876B4D"/>
    <w:rsid w:val="00877F18"/>
    <w:rsid w:val="00883ED2"/>
    <w:rsid w:val="00884BCC"/>
    <w:rsid w:val="008872BC"/>
    <w:rsid w:val="008874D3"/>
    <w:rsid w:val="00893617"/>
    <w:rsid w:val="00894029"/>
    <w:rsid w:val="008941E3"/>
    <w:rsid w:val="00894A88"/>
    <w:rsid w:val="00895386"/>
    <w:rsid w:val="008A21FF"/>
    <w:rsid w:val="008A2CE2"/>
    <w:rsid w:val="008A30AC"/>
    <w:rsid w:val="008A44B8"/>
    <w:rsid w:val="008A51A8"/>
    <w:rsid w:val="008A54C7"/>
    <w:rsid w:val="008A67B8"/>
    <w:rsid w:val="008A67D9"/>
    <w:rsid w:val="008A77D8"/>
    <w:rsid w:val="008B0483"/>
    <w:rsid w:val="008B120C"/>
    <w:rsid w:val="008B51A0"/>
    <w:rsid w:val="008B559C"/>
    <w:rsid w:val="008B592A"/>
    <w:rsid w:val="008B6C20"/>
    <w:rsid w:val="008B7077"/>
    <w:rsid w:val="008B7B5C"/>
    <w:rsid w:val="008C085B"/>
    <w:rsid w:val="008C0B73"/>
    <w:rsid w:val="008C0C99"/>
    <w:rsid w:val="008C182A"/>
    <w:rsid w:val="008C2017"/>
    <w:rsid w:val="008C4958"/>
    <w:rsid w:val="008C4BAA"/>
    <w:rsid w:val="008C6AE8"/>
    <w:rsid w:val="008C7573"/>
    <w:rsid w:val="008D00A5"/>
    <w:rsid w:val="008D310D"/>
    <w:rsid w:val="008D34F1"/>
    <w:rsid w:val="008D39D8"/>
    <w:rsid w:val="008D5C19"/>
    <w:rsid w:val="008D6C3D"/>
    <w:rsid w:val="008D6D1A"/>
    <w:rsid w:val="008D75AD"/>
    <w:rsid w:val="008E065E"/>
    <w:rsid w:val="008E0927"/>
    <w:rsid w:val="008E1909"/>
    <w:rsid w:val="008F0834"/>
    <w:rsid w:val="008F1AB7"/>
    <w:rsid w:val="008F1C44"/>
    <w:rsid w:val="008F1EAB"/>
    <w:rsid w:val="008F248E"/>
    <w:rsid w:val="008F33DC"/>
    <w:rsid w:val="008F477F"/>
    <w:rsid w:val="00902350"/>
    <w:rsid w:val="0090336B"/>
    <w:rsid w:val="009053AA"/>
    <w:rsid w:val="00905FB4"/>
    <w:rsid w:val="00906939"/>
    <w:rsid w:val="00910B7D"/>
    <w:rsid w:val="00911DFB"/>
    <w:rsid w:val="009139D9"/>
    <w:rsid w:val="009142EF"/>
    <w:rsid w:val="00914AD8"/>
    <w:rsid w:val="00916079"/>
    <w:rsid w:val="00917CE9"/>
    <w:rsid w:val="00917E25"/>
    <w:rsid w:val="009200B8"/>
    <w:rsid w:val="00920BF2"/>
    <w:rsid w:val="00922010"/>
    <w:rsid w:val="009241CF"/>
    <w:rsid w:val="00924BEF"/>
    <w:rsid w:val="00926B17"/>
    <w:rsid w:val="00927997"/>
    <w:rsid w:val="009309D8"/>
    <w:rsid w:val="00931BD9"/>
    <w:rsid w:val="009340F0"/>
    <w:rsid w:val="00935223"/>
    <w:rsid w:val="009368F3"/>
    <w:rsid w:val="0093694C"/>
    <w:rsid w:val="00941636"/>
    <w:rsid w:val="00943742"/>
    <w:rsid w:val="0094479E"/>
    <w:rsid w:val="00944A6A"/>
    <w:rsid w:val="00945C05"/>
    <w:rsid w:val="00945E8A"/>
    <w:rsid w:val="00946945"/>
    <w:rsid w:val="00947713"/>
    <w:rsid w:val="00950335"/>
    <w:rsid w:val="00950DE7"/>
    <w:rsid w:val="00953920"/>
    <w:rsid w:val="00953D47"/>
    <w:rsid w:val="00955AEE"/>
    <w:rsid w:val="0095681E"/>
    <w:rsid w:val="009571AB"/>
    <w:rsid w:val="009572D4"/>
    <w:rsid w:val="009606DC"/>
    <w:rsid w:val="00961574"/>
    <w:rsid w:val="00961921"/>
    <w:rsid w:val="0096376F"/>
    <w:rsid w:val="0096430A"/>
    <w:rsid w:val="009652CC"/>
    <w:rsid w:val="0096554B"/>
    <w:rsid w:val="0096584A"/>
    <w:rsid w:val="00971F08"/>
    <w:rsid w:val="009725C7"/>
    <w:rsid w:val="0097603D"/>
    <w:rsid w:val="00976949"/>
    <w:rsid w:val="009770A7"/>
    <w:rsid w:val="00980477"/>
    <w:rsid w:val="00983DBC"/>
    <w:rsid w:val="00985253"/>
    <w:rsid w:val="009853B3"/>
    <w:rsid w:val="00990630"/>
    <w:rsid w:val="009912B3"/>
    <w:rsid w:val="00991761"/>
    <w:rsid w:val="00992341"/>
    <w:rsid w:val="0099282D"/>
    <w:rsid w:val="009944A2"/>
    <w:rsid w:val="00994581"/>
    <w:rsid w:val="00994DCA"/>
    <w:rsid w:val="00995133"/>
    <w:rsid w:val="009960EC"/>
    <w:rsid w:val="009970DD"/>
    <w:rsid w:val="009A0FBA"/>
    <w:rsid w:val="009A1601"/>
    <w:rsid w:val="009A2CD2"/>
    <w:rsid w:val="009A3459"/>
    <w:rsid w:val="009A3B4B"/>
    <w:rsid w:val="009A3BB6"/>
    <w:rsid w:val="009A462D"/>
    <w:rsid w:val="009A5CBA"/>
    <w:rsid w:val="009A6CED"/>
    <w:rsid w:val="009A7E2C"/>
    <w:rsid w:val="009B1F30"/>
    <w:rsid w:val="009B3AC2"/>
    <w:rsid w:val="009B4DF4"/>
    <w:rsid w:val="009B564E"/>
    <w:rsid w:val="009B7E87"/>
    <w:rsid w:val="009B7F81"/>
    <w:rsid w:val="009C0169"/>
    <w:rsid w:val="009C0BC1"/>
    <w:rsid w:val="009C403E"/>
    <w:rsid w:val="009C50DD"/>
    <w:rsid w:val="009D2886"/>
    <w:rsid w:val="009D3580"/>
    <w:rsid w:val="009D4EAF"/>
    <w:rsid w:val="009D4FF0"/>
    <w:rsid w:val="009D703C"/>
    <w:rsid w:val="009D718F"/>
    <w:rsid w:val="009E068F"/>
    <w:rsid w:val="009E14E0"/>
    <w:rsid w:val="009E31FF"/>
    <w:rsid w:val="009E35DB"/>
    <w:rsid w:val="009E47A3"/>
    <w:rsid w:val="009E60C0"/>
    <w:rsid w:val="009F08F3"/>
    <w:rsid w:val="009F344F"/>
    <w:rsid w:val="00A02221"/>
    <w:rsid w:val="00A031D8"/>
    <w:rsid w:val="00A048A8"/>
    <w:rsid w:val="00A04F49"/>
    <w:rsid w:val="00A058C1"/>
    <w:rsid w:val="00A06060"/>
    <w:rsid w:val="00A07920"/>
    <w:rsid w:val="00A1130E"/>
    <w:rsid w:val="00A13E54"/>
    <w:rsid w:val="00A17F63"/>
    <w:rsid w:val="00A216D0"/>
    <w:rsid w:val="00A2193B"/>
    <w:rsid w:val="00A22E9E"/>
    <w:rsid w:val="00A2351A"/>
    <w:rsid w:val="00A238AE"/>
    <w:rsid w:val="00A251AD"/>
    <w:rsid w:val="00A25B57"/>
    <w:rsid w:val="00A264A9"/>
    <w:rsid w:val="00A26DCF"/>
    <w:rsid w:val="00A2769E"/>
    <w:rsid w:val="00A27785"/>
    <w:rsid w:val="00A30187"/>
    <w:rsid w:val="00A312CF"/>
    <w:rsid w:val="00A32F02"/>
    <w:rsid w:val="00A3448A"/>
    <w:rsid w:val="00A346EC"/>
    <w:rsid w:val="00A35EC6"/>
    <w:rsid w:val="00A36297"/>
    <w:rsid w:val="00A3642B"/>
    <w:rsid w:val="00A3669E"/>
    <w:rsid w:val="00A371CC"/>
    <w:rsid w:val="00A41E2B"/>
    <w:rsid w:val="00A45B74"/>
    <w:rsid w:val="00A50F27"/>
    <w:rsid w:val="00A51190"/>
    <w:rsid w:val="00A52E1D"/>
    <w:rsid w:val="00A5478B"/>
    <w:rsid w:val="00A5663F"/>
    <w:rsid w:val="00A61499"/>
    <w:rsid w:val="00A62A77"/>
    <w:rsid w:val="00A63483"/>
    <w:rsid w:val="00A657D7"/>
    <w:rsid w:val="00A65FEA"/>
    <w:rsid w:val="00A66056"/>
    <w:rsid w:val="00A660AC"/>
    <w:rsid w:val="00A67E6C"/>
    <w:rsid w:val="00A67F1F"/>
    <w:rsid w:val="00A71B99"/>
    <w:rsid w:val="00A739D0"/>
    <w:rsid w:val="00A74D6B"/>
    <w:rsid w:val="00A761D4"/>
    <w:rsid w:val="00A76DA3"/>
    <w:rsid w:val="00A77EC4"/>
    <w:rsid w:val="00A82560"/>
    <w:rsid w:val="00A830F9"/>
    <w:rsid w:val="00A83F13"/>
    <w:rsid w:val="00A85480"/>
    <w:rsid w:val="00A92879"/>
    <w:rsid w:val="00A9442A"/>
    <w:rsid w:val="00AA016F"/>
    <w:rsid w:val="00AA0F6B"/>
    <w:rsid w:val="00AA1ED6"/>
    <w:rsid w:val="00AA51D6"/>
    <w:rsid w:val="00AA5CEA"/>
    <w:rsid w:val="00AA786A"/>
    <w:rsid w:val="00AB0BC8"/>
    <w:rsid w:val="00AB11CA"/>
    <w:rsid w:val="00AB14D9"/>
    <w:rsid w:val="00AB2D69"/>
    <w:rsid w:val="00AB3D09"/>
    <w:rsid w:val="00AB3D32"/>
    <w:rsid w:val="00AB4323"/>
    <w:rsid w:val="00AB4AB8"/>
    <w:rsid w:val="00AB5D26"/>
    <w:rsid w:val="00AB655E"/>
    <w:rsid w:val="00AC007F"/>
    <w:rsid w:val="00AC0097"/>
    <w:rsid w:val="00AC1FCD"/>
    <w:rsid w:val="00AC2ECD"/>
    <w:rsid w:val="00AC3119"/>
    <w:rsid w:val="00AC39D2"/>
    <w:rsid w:val="00AC49FB"/>
    <w:rsid w:val="00AC4EEB"/>
    <w:rsid w:val="00AC5A10"/>
    <w:rsid w:val="00AD0AA3"/>
    <w:rsid w:val="00AD3370"/>
    <w:rsid w:val="00AD3F94"/>
    <w:rsid w:val="00AD4A5A"/>
    <w:rsid w:val="00AD4BD5"/>
    <w:rsid w:val="00AE1911"/>
    <w:rsid w:val="00AE22F3"/>
    <w:rsid w:val="00AE27AC"/>
    <w:rsid w:val="00AE40E0"/>
    <w:rsid w:val="00AE4DBA"/>
    <w:rsid w:val="00AE4F07"/>
    <w:rsid w:val="00AE633B"/>
    <w:rsid w:val="00AE74FC"/>
    <w:rsid w:val="00AF1C5D"/>
    <w:rsid w:val="00AF317C"/>
    <w:rsid w:val="00AF42D7"/>
    <w:rsid w:val="00B006FE"/>
    <w:rsid w:val="00B007CB"/>
    <w:rsid w:val="00B02AA9"/>
    <w:rsid w:val="00B02FA3"/>
    <w:rsid w:val="00B05084"/>
    <w:rsid w:val="00B05420"/>
    <w:rsid w:val="00B11560"/>
    <w:rsid w:val="00B157F9"/>
    <w:rsid w:val="00B20256"/>
    <w:rsid w:val="00B20D09"/>
    <w:rsid w:val="00B21779"/>
    <w:rsid w:val="00B2763F"/>
    <w:rsid w:val="00B27AAC"/>
    <w:rsid w:val="00B30929"/>
    <w:rsid w:val="00B30D4E"/>
    <w:rsid w:val="00B316AD"/>
    <w:rsid w:val="00B341B2"/>
    <w:rsid w:val="00B36075"/>
    <w:rsid w:val="00B372AA"/>
    <w:rsid w:val="00B40445"/>
    <w:rsid w:val="00B409E0"/>
    <w:rsid w:val="00B41888"/>
    <w:rsid w:val="00B45A52"/>
    <w:rsid w:val="00B46175"/>
    <w:rsid w:val="00B50CD3"/>
    <w:rsid w:val="00B51983"/>
    <w:rsid w:val="00B54369"/>
    <w:rsid w:val="00B548B7"/>
    <w:rsid w:val="00B562EA"/>
    <w:rsid w:val="00B56C96"/>
    <w:rsid w:val="00B60462"/>
    <w:rsid w:val="00B60B20"/>
    <w:rsid w:val="00B664C7"/>
    <w:rsid w:val="00B707C3"/>
    <w:rsid w:val="00B72ABA"/>
    <w:rsid w:val="00B739F6"/>
    <w:rsid w:val="00B81A6C"/>
    <w:rsid w:val="00B83F19"/>
    <w:rsid w:val="00B85DE5"/>
    <w:rsid w:val="00B869D6"/>
    <w:rsid w:val="00B90F73"/>
    <w:rsid w:val="00B914CD"/>
    <w:rsid w:val="00B9270C"/>
    <w:rsid w:val="00B92D2A"/>
    <w:rsid w:val="00B93B59"/>
    <w:rsid w:val="00B9406A"/>
    <w:rsid w:val="00BA2280"/>
    <w:rsid w:val="00BA2A08"/>
    <w:rsid w:val="00BA56D2"/>
    <w:rsid w:val="00BA76E0"/>
    <w:rsid w:val="00BB2A25"/>
    <w:rsid w:val="00BB452D"/>
    <w:rsid w:val="00BB51E9"/>
    <w:rsid w:val="00BB5F6B"/>
    <w:rsid w:val="00BB6F8C"/>
    <w:rsid w:val="00BC0FDC"/>
    <w:rsid w:val="00BC3053"/>
    <w:rsid w:val="00BC48AB"/>
    <w:rsid w:val="00BC4D2E"/>
    <w:rsid w:val="00BC5E06"/>
    <w:rsid w:val="00BD3699"/>
    <w:rsid w:val="00BD48AC"/>
    <w:rsid w:val="00BD5AB9"/>
    <w:rsid w:val="00BD5F1A"/>
    <w:rsid w:val="00BE1234"/>
    <w:rsid w:val="00BE190E"/>
    <w:rsid w:val="00BE2FA6"/>
    <w:rsid w:val="00BE333F"/>
    <w:rsid w:val="00BE4C12"/>
    <w:rsid w:val="00BE7406"/>
    <w:rsid w:val="00BE7603"/>
    <w:rsid w:val="00BE7A38"/>
    <w:rsid w:val="00BF1331"/>
    <w:rsid w:val="00BF20AD"/>
    <w:rsid w:val="00BF3279"/>
    <w:rsid w:val="00BF5FB6"/>
    <w:rsid w:val="00BF74C7"/>
    <w:rsid w:val="00C008CE"/>
    <w:rsid w:val="00C015F1"/>
    <w:rsid w:val="00C01F33"/>
    <w:rsid w:val="00C02CC6"/>
    <w:rsid w:val="00C040F7"/>
    <w:rsid w:val="00C044AB"/>
    <w:rsid w:val="00C05209"/>
    <w:rsid w:val="00C05706"/>
    <w:rsid w:val="00C0631B"/>
    <w:rsid w:val="00C063DD"/>
    <w:rsid w:val="00C06BB6"/>
    <w:rsid w:val="00C07377"/>
    <w:rsid w:val="00C101A6"/>
    <w:rsid w:val="00C10478"/>
    <w:rsid w:val="00C12107"/>
    <w:rsid w:val="00C129C0"/>
    <w:rsid w:val="00C12AB0"/>
    <w:rsid w:val="00C14D4B"/>
    <w:rsid w:val="00C154BB"/>
    <w:rsid w:val="00C209E0"/>
    <w:rsid w:val="00C21521"/>
    <w:rsid w:val="00C21791"/>
    <w:rsid w:val="00C268E6"/>
    <w:rsid w:val="00C26E1A"/>
    <w:rsid w:val="00C279B5"/>
    <w:rsid w:val="00C27C45"/>
    <w:rsid w:val="00C30010"/>
    <w:rsid w:val="00C311AD"/>
    <w:rsid w:val="00C31D1E"/>
    <w:rsid w:val="00C370E0"/>
    <w:rsid w:val="00C3719D"/>
    <w:rsid w:val="00C37CB2"/>
    <w:rsid w:val="00C473A5"/>
    <w:rsid w:val="00C502B1"/>
    <w:rsid w:val="00C50756"/>
    <w:rsid w:val="00C54995"/>
    <w:rsid w:val="00C54D41"/>
    <w:rsid w:val="00C55538"/>
    <w:rsid w:val="00C556D7"/>
    <w:rsid w:val="00C57426"/>
    <w:rsid w:val="00C605FD"/>
    <w:rsid w:val="00C60783"/>
    <w:rsid w:val="00C63471"/>
    <w:rsid w:val="00C64672"/>
    <w:rsid w:val="00C665B5"/>
    <w:rsid w:val="00C70697"/>
    <w:rsid w:val="00C72093"/>
    <w:rsid w:val="00C72AE9"/>
    <w:rsid w:val="00C72EF4"/>
    <w:rsid w:val="00C744FE"/>
    <w:rsid w:val="00C75D2F"/>
    <w:rsid w:val="00C767BE"/>
    <w:rsid w:val="00C76E3C"/>
    <w:rsid w:val="00C771AE"/>
    <w:rsid w:val="00C77306"/>
    <w:rsid w:val="00C81568"/>
    <w:rsid w:val="00C83869"/>
    <w:rsid w:val="00C9027A"/>
    <w:rsid w:val="00C9068E"/>
    <w:rsid w:val="00C9324A"/>
    <w:rsid w:val="00C93814"/>
    <w:rsid w:val="00C93C4B"/>
    <w:rsid w:val="00C944AB"/>
    <w:rsid w:val="00C95B40"/>
    <w:rsid w:val="00CA1ED8"/>
    <w:rsid w:val="00CA21E2"/>
    <w:rsid w:val="00CA42CD"/>
    <w:rsid w:val="00CA4B99"/>
    <w:rsid w:val="00CA5D4C"/>
    <w:rsid w:val="00CB0E4A"/>
    <w:rsid w:val="00CB1F63"/>
    <w:rsid w:val="00CB7170"/>
    <w:rsid w:val="00CC040E"/>
    <w:rsid w:val="00CC111F"/>
    <w:rsid w:val="00CC12A5"/>
    <w:rsid w:val="00CC2011"/>
    <w:rsid w:val="00CC39E3"/>
    <w:rsid w:val="00CC3EA0"/>
    <w:rsid w:val="00CC4C70"/>
    <w:rsid w:val="00CC7568"/>
    <w:rsid w:val="00CC7B45"/>
    <w:rsid w:val="00CD0800"/>
    <w:rsid w:val="00CD1188"/>
    <w:rsid w:val="00CD1FBB"/>
    <w:rsid w:val="00CD2ED1"/>
    <w:rsid w:val="00CD337B"/>
    <w:rsid w:val="00CD5B62"/>
    <w:rsid w:val="00CD615D"/>
    <w:rsid w:val="00CE0424"/>
    <w:rsid w:val="00CE4DB6"/>
    <w:rsid w:val="00CE4EE4"/>
    <w:rsid w:val="00CE7561"/>
    <w:rsid w:val="00CE79EE"/>
    <w:rsid w:val="00CF1354"/>
    <w:rsid w:val="00CF3B1F"/>
    <w:rsid w:val="00CF3BF6"/>
    <w:rsid w:val="00CF4555"/>
    <w:rsid w:val="00CF625B"/>
    <w:rsid w:val="00CF687E"/>
    <w:rsid w:val="00D00535"/>
    <w:rsid w:val="00D0349B"/>
    <w:rsid w:val="00D07BC9"/>
    <w:rsid w:val="00D07C51"/>
    <w:rsid w:val="00D10249"/>
    <w:rsid w:val="00D115C3"/>
    <w:rsid w:val="00D11897"/>
    <w:rsid w:val="00D13135"/>
    <w:rsid w:val="00D13E4E"/>
    <w:rsid w:val="00D17207"/>
    <w:rsid w:val="00D239A7"/>
    <w:rsid w:val="00D23F47"/>
    <w:rsid w:val="00D243ED"/>
    <w:rsid w:val="00D26CAB"/>
    <w:rsid w:val="00D31F59"/>
    <w:rsid w:val="00D33267"/>
    <w:rsid w:val="00D3422F"/>
    <w:rsid w:val="00D355D0"/>
    <w:rsid w:val="00D36E71"/>
    <w:rsid w:val="00D37D87"/>
    <w:rsid w:val="00D40B33"/>
    <w:rsid w:val="00D40F85"/>
    <w:rsid w:val="00D4318F"/>
    <w:rsid w:val="00D43886"/>
    <w:rsid w:val="00D438BF"/>
    <w:rsid w:val="00D440F8"/>
    <w:rsid w:val="00D4537E"/>
    <w:rsid w:val="00D4681C"/>
    <w:rsid w:val="00D546FF"/>
    <w:rsid w:val="00D54B67"/>
    <w:rsid w:val="00D55AD5"/>
    <w:rsid w:val="00D576CA"/>
    <w:rsid w:val="00D61AF5"/>
    <w:rsid w:val="00D65263"/>
    <w:rsid w:val="00D652B5"/>
    <w:rsid w:val="00D66155"/>
    <w:rsid w:val="00D708B0"/>
    <w:rsid w:val="00D728CC"/>
    <w:rsid w:val="00D77B1D"/>
    <w:rsid w:val="00D8021F"/>
    <w:rsid w:val="00D80383"/>
    <w:rsid w:val="00D80B8E"/>
    <w:rsid w:val="00D823C6"/>
    <w:rsid w:val="00D82C2C"/>
    <w:rsid w:val="00D8327F"/>
    <w:rsid w:val="00D86CA3"/>
    <w:rsid w:val="00D871CE"/>
    <w:rsid w:val="00D9196D"/>
    <w:rsid w:val="00D92982"/>
    <w:rsid w:val="00D9310F"/>
    <w:rsid w:val="00D94ACA"/>
    <w:rsid w:val="00D94BFE"/>
    <w:rsid w:val="00D9754E"/>
    <w:rsid w:val="00DA2167"/>
    <w:rsid w:val="00DA305E"/>
    <w:rsid w:val="00DA5417"/>
    <w:rsid w:val="00DA56E8"/>
    <w:rsid w:val="00DB0A3E"/>
    <w:rsid w:val="00DB0A9F"/>
    <w:rsid w:val="00DB0EB4"/>
    <w:rsid w:val="00DB377D"/>
    <w:rsid w:val="00DB5EEC"/>
    <w:rsid w:val="00DC2139"/>
    <w:rsid w:val="00DC2D36"/>
    <w:rsid w:val="00DC53EF"/>
    <w:rsid w:val="00DD225A"/>
    <w:rsid w:val="00DD6BE7"/>
    <w:rsid w:val="00DD7ECF"/>
    <w:rsid w:val="00DE1331"/>
    <w:rsid w:val="00DE3BC9"/>
    <w:rsid w:val="00DE40CC"/>
    <w:rsid w:val="00DE5608"/>
    <w:rsid w:val="00DE58D0"/>
    <w:rsid w:val="00DE654F"/>
    <w:rsid w:val="00DE6A25"/>
    <w:rsid w:val="00DF0B6E"/>
    <w:rsid w:val="00DF15E0"/>
    <w:rsid w:val="00DF1CCB"/>
    <w:rsid w:val="00DF37A0"/>
    <w:rsid w:val="00DF65A4"/>
    <w:rsid w:val="00E0154F"/>
    <w:rsid w:val="00E0200B"/>
    <w:rsid w:val="00E022DA"/>
    <w:rsid w:val="00E027F7"/>
    <w:rsid w:val="00E03022"/>
    <w:rsid w:val="00E053B8"/>
    <w:rsid w:val="00E056BA"/>
    <w:rsid w:val="00E066A4"/>
    <w:rsid w:val="00E110E7"/>
    <w:rsid w:val="00E11B20"/>
    <w:rsid w:val="00E17FA2"/>
    <w:rsid w:val="00E22330"/>
    <w:rsid w:val="00E26956"/>
    <w:rsid w:val="00E2770A"/>
    <w:rsid w:val="00E27B4C"/>
    <w:rsid w:val="00E27D5B"/>
    <w:rsid w:val="00E30B5A"/>
    <w:rsid w:val="00E3123D"/>
    <w:rsid w:val="00E31461"/>
    <w:rsid w:val="00E31A2C"/>
    <w:rsid w:val="00E31D43"/>
    <w:rsid w:val="00E32608"/>
    <w:rsid w:val="00E34188"/>
    <w:rsid w:val="00E34B6E"/>
    <w:rsid w:val="00E35559"/>
    <w:rsid w:val="00E3723A"/>
    <w:rsid w:val="00E37860"/>
    <w:rsid w:val="00E43AC7"/>
    <w:rsid w:val="00E446F1"/>
    <w:rsid w:val="00E46683"/>
    <w:rsid w:val="00E46886"/>
    <w:rsid w:val="00E47910"/>
    <w:rsid w:val="00E47AEF"/>
    <w:rsid w:val="00E50CFD"/>
    <w:rsid w:val="00E51C1A"/>
    <w:rsid w:val="00E51C8B"/>
    <w:rsid w:val="00E53B75"/>
    <w:rsid w:val="00E54E3B"/>
    <w:rsid w:val="00E56577"/>
    <w:rsid w:val="00E56B5B"/>
    <w:rsid w:val="00E57565"/>
    <w:rsid w:val="00E60D9B"/>
    <w:rsid w:val="00E63838"/>
    <w:rsid w:val="00E64434"/>
    <w:rsid w:val="00E67C51"/>
    <w:rsid w:val="00E7107B"/>
    <w:rsid w:val="00E7211C"/>
    <w:rsid w:val="00E72EFC"/>
    <w:rsid w:val="00E73B6C"/>
    <w:rsid w:val="00E74D47"/>
    <w:rsid w:val="00E75843"/>
    <w:rsid w:val="00E758EC"/>
    <w:rsid w:val="00E7659A"/>
    <w:rsid w:val="00E76721"/>
    <w:rsid w:val="00E76D8E"/>
    <w:rsid w:val="00E8234C"/>
    <w:rsid w:val="00E83AA9"/>
    <w:rsid w:val="00E840D9"/>
    <w:rsid w:val="00E85928"/>
    <w:rsid w:val="00E86354"/>
    <w:rsid w:val="00E871E1"/>
    <w:rsid w:val="00E87822"/>
    <w:rsid w:val="00E90395"/>
    <w:rsid w:val="00E90E49"/>
    <w:rsid w:val="00E91201"/>
    <w:rsid w:val="00E917F9"/>
    <w:rsid w:val="00E92644"/>
    <w:rsid w:val="00E9291C"/>
    <w:rsid w:val="00E93FFE"/>
    <w:rsid w:val="00E94F8A"/>
    <w:rsid w:val="00EA1D07"/>
    <w:rsid w:val="00EA43DE"/>
    <w:rsid w:val="00EA4998"/>
    <w:rsid w:val="00EA5DA4"/>
    <w:rsid w:val="00EA6CC0"/>
    <w:rsid w:val="00EA6F48"/>
    <w:rsid w:val="00EA7A41"/>
    <w:rsid w:val="00EB077B"/>
    <w:rsid w:val="00EB3547"/>
    <w:rsid w:val="00EB3C66"/>
    <w:rsid w:val="00EB4EA2"/>
    <w:rsid w:val="00EB5D53"/>
    <w:rsid w:val="00EC24D5"/>
    <w:rsid w:val="00EC27C6"/>
    <w:rsid w:val="00EC4207"/>
    <w:rsid w:val="00EC5653"/>
    <w:rsid w:val="00EC6499"/>
    <w:rsid w:val="00EC71CE"/>
    <w:rsid w:val="00ED04BF"/>
    <w:rsid w:val="00ED04CC"/>
    <w:rsid w:val="00ED1006"/>
    <w:rsid w:val="00ED1984"/>
    <w:rsid w:val="00ED7B43"/>
    <w:rsid w:val="00EF18FE"/>
    <w:rsid w:val="00EF1F32"/>
    <w:rsid w:val="00EF5787"/>
    <w:rsid w:val="00EF60D0"/>
    <w:rsid w:val="00EF7AED"/>
    <w:rsid w:val="00F00B71"/>
    <w:rsid w:val="00F015C1"/>
    <w:rsid w:val="00F01618"/>
    <w:rsid w:val="00F0528D"/>
    <w:rsid w:val="00F06C67"/>
    <w:rsid w:val="00F06DFD"/>
    <w:rsid w:val="00F071D1"/>
    <w:rsid w:val="00F07533"/>
    <w:rsid w:val="00F10629"/>
    <w:rsid w:val="00F15FA5"/>
    <w:rsid w:val="00F209B7"/>
    <w:rsid w:val="00F20DC6"/>
    <w:rsid w:val="00F20F5C"/>
    <w:rsid w:val="00F22F37"/>
    <w:rsid w:val="00F2376F"/>
    <w:rsid w:val="00F243D8"/>
    <w:rsid w:val="00F26780"/>
    <w:rsid w:val="00F30828"/>
    <w:rsid w:val="00F313D6"/>
    <w:rsid w:val="00F35264"/>
    <w:rsid w:val="00F40F0C"/>
    <w:rsid w:val="00F425C2"/>
    <w:rsid w:val="00F440EE"/>
    <w:rsid w:val="00F448A3"/>
    <w:rsid w:val="00F45B9D"/>
    <w:rsid w:val="00F4766C"/>
    <w:rsid w:val="00F47F92"/>
    <w:rsid w:val="00F5060E"/>
    <w:rsid w:val="00F507D1"/>
    <w:rsid w:val="00F519CE"/>
    <w:rsid w:val="00F51ADA"/>
    <w:rsid w:val="00F52659"/>
    <w:rsid w:val="00F53987"/>
    <w:rsid w:val="00F55139"/>
    <w:rsid w:val="00F60203"/>
    <w:rsid w:val="00F607C5"/>
    <w:rsid w:val="00F60DEA"/>
    <w:rsid w:val="00F6302A"/>
    <w:rsid w:val="00F63950"/>
    <w:rsid w:val="00F64C2B"/>
    <w:rsid w:val="00F651BE"/>
    <w:rsid w:val="00F67F53"/>
    <w:rsid w:val="00F703BE"/>
    <w:rsid w:val="00F70BCA"/>
    <w:rsid w:val="00F71474"/>
    <w:rsid w:val="00F71F69"/>
    <w:rsid w:val="00F72B72"/>
    <w:rsid w:val="00F74856"/>
    <w:rsid w:val="00F74BB9"/>
    <w:rsid w:val="00F75582"/>
    <w:rsid w:val="00F7677D"/>
    <w:rsid w:val="00F76EFA"/>
    <w:rsid w:val="00F804BE"/>
    <w:rsid w:val="00F80630"/>
    <w:rsid w:val="00F817CE"/>
    <w:rsid w:val="00F832FF"/>
    <w:rsid w:val="00F8456C"/>
    <w:rsid w:val="00F85985"/>
    <w:rsid w:val="00F859D8"/>
    <w:rsid w:val="00F86785"/>
    <w:rsid w:val="00F868F5"/>
    <w:rsid w:val="00F9056A"/>
    <w:rsid w:val="00F90F8D"/>
    <w:rsid w:val="00F9162E"/>
    <w:rsid w:val="00F92782"/>
    <w:rsid w:val="00F93AA9"/>
    <w:rsid w:val="00F96985"/>
    <w:rsid w:val="00F97838"/>
    <w:rsid w:val="00FA0CEB"/>
    <w:rsid w:val="00FA0E8E"/>
    <w:rsid w:val="00FA158C"/>
    <w:rsid w:val="00FA2BB3"/>
    <w:rsid w:val="00FA2CB5"/>
    <w:rsid w:val="00FA73E1"/>
    <w:rsid w:val="00FB2574"/>
    <w:rsid w:val="00FB4C80"/>
    <w:rsid w:val="00FB57C6"/>
    <w:rsid w:val="00FB5F5C"/>
    <w:rsid w:val="00FB6A6A"/>
    <w:rsid w:val="00FC0C6D"/>
    <w:rsid w:val="00FC4AE8"/>
    <w:rsid w:val="00FC54F2"/>
    <w:rsid w:val="00FC7429"/>
    <w:rsid w:val="00FD067B"/>
    <w:rsid w:val="00FD07F6"/>
    <w:rsid w:val="00FD1EC8"/>
    <w:rsid w:val="00FD22D5"/>
    <w:rsid w:val="00FD2C9B"/>
    <w:rsid w:val="00FD324F"/>
    <w:rsid w:val="00FD47ED"/>
    <w:rsid w:val="00FD556F"/>
    <w:rsid w:val="00FD74DB"/>
    <w:rsid w:val="00FD7660"/>
    <w:rsid w:val="00FE0655"/>
    <w:rsid w:val="00FE2365"/>
    <w:rsid w:val="00FE37D7"/>
    <w:rsid w:val="00FE4C7B"/>
    <w:rsid w:val="00FE5E3E"/>
    <w:rsid w:val="00FE7336"/>
    <w:rsid w:val="00FE7540"/>
    <w:rsid w:val="00FE787C"/>
    <w:rsid w:val="00FE7B48"/>
    <w:rsid w:val="00FF30BD"/>
    <w:rsid w:val="00FF45A5"/>
    <w:rsid w:val="00FF4942"/>
    <w:rsid w:val="00FF5247"/>
    <w:rsid w:val="00FF5C91"/>
    <w:rsid w:val="00FF647C"/>
    <w:rsid w:val="00FF6A3D"/>
    <w:rsid w:val="55D3E7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61A4F44A-F775-4984-950D-1555FA706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3Char">
    <w:name w:val="B3 Char"/>
    <w:qFormat/>
    <w:locked/>
    <w:rsid w:val="009725C7"/>
    <w:rPr>
      <w:rFonts w:asciiTheme="minorHAnsi" w:eastAsiaTheme="minorHAnsi" w:hAnsiTheme="minorHAnsi" w:cstheme="minorBidi"/>
      <w:sz w:val="22"/>
      <w:szCs w:val="22"/>
      <w:lang w:val="zh-CN" w:eastAsia="en-US"/>
    </w:rPr>
  </w:style>
  <w:style w:type="character" w:styleId="Mention">
    <w:name w:val="Mention"/>
    <w:basedOn w:val="DefaultParagraphFont"/>
    <w:uiPriority w:val="99"/>
    <w:unhideWhenUsed/>
    <w:rsid w:val="00E7659A"/>
    <w:rPr>
      <w:color w:val="2B579A"/>
      <w:shd w:val="clear" w:color="auto" w:fill="E1DFDD"/>
    </w:rPr>
  </w:style>
  <w:style w:type="paragraph" w:styleId="Revision">
    <w:name w:val="Revision"/>
    <w:hidden/>
    <w:uiPriority w:val="99"/>
    <w:semiHidden/>
    <w:rsid w:val="00E053B8"/>
    <w:rPr>
      <w:rFonts w:ascii="Times New Roman" w:hAnsi="Times New Roman"/>
      <w:lang w:eastAsia="ja-JP"/>
    </w:rPr>
  </w:style>
  <w:style w:type="paragraph" w:customStyle="1" w:styleId="Agreement">
    <w:name w:val="Agreement"/>
    <w:basedOn w:val="Normal"/>
    <w:next w:val="Normal"/>
    <w:uiPriority w:val="99"/>
    <w:qFormat/>
    <w:rsid w:val="00C311AD"/>
    <w:pPr>
      <w:numPr>
        <w:numId w:val="32"/>
      </w:numPr>
      <w:overflowPunct/>
      <w:autoSpaceDE/>
      <w:autoSpaceDN/>
      <w:adjustRightInd/>
      <w:spacing w:before="60" w:after="0"/>
      <w:textAlignment w:val="auto"/>
    </w:pPr>
    <w:rPr>
      <w:rFonts w:ascii="Arial" w:eastAsia="MS Mincho" w:hAnsi="Arial"/>
      <w:b/>
      <w:szCs w:val="24"/>
      <w:lang w:eastAsia="en-GB"/>
    </w:rPr>
  </w:style>
  <w:style w:type="paragraph" w:customStyle="1" w:styleId="Propoas">
    <w:name w:val="Propoas"/>
    <w:basedOn w:val="Normal"/>
    <w:qFormat/>
    <w:rsid w:val="004C5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623838">
      <w:bodyDiv w:val="1"/>
      <w:marLeft w:val="0"/>
      <w:marRight w:val="0"/>
      <w:marTop w:val="0"/>
      <w:marBottom w:val="0"/>
      <w:divBdr>
        <w:top w:val="none" w:sz="0" w:space="0" w:color="auto"/>
        <w:left w:val="none" w:sz="0" w:space="0" w:color="auto"/>
        <w:bottom w:val="none" w:sz="0" w:space="0" w:color="auto"/>
        <w:right w:val="none" w:sz="0" w:space="0" w:color="auto"/>
      </w:divBdr>
    </w:div>
    <w:div w:id="66807761">
      <w:bodyDiv w:val="1"/>
      <w:marLeft w:val="0"/>
      <w:marRight w:val="0"/>
      <w:marTop w:val="0"/>
      <w:marBottom w:val="0"/>
      <w:divBdr>
        <w:top w:val="none" w:sz="0" w:space="0" w:color="auto"/>
        <w:left w:val="none" w:sz="0" w:space="0" w:color="auto"/>
        <w:bottom w:val="none" w:sz="0" w:space="0" w:color="auto"/>
        <w:right w:val="none" w:sz="0" w:space="0" w:color="auto"/>
      </w:divBdr>
    </w:div>
    <w:div w:id="465853289">
      <w:bodyDiv w:val="1"/>
      <w:marLeft w:val="0"/>
      <w:marRight w:val="0"/>
      <w:marTop w:val="0"/>
      <w:marBottom w:val="0"/>
      <w:divBdr>
        <w:top w:val="none" w:sz="0" w:space="0" w:color="auto"/>
        <w:left w:val="none" w:sz="0" w:space="0" w:color="auto"/>
        <w:bottom w:val="none" w:sz="0" w:space="0" w:color="auto"/>
        <w:right w:val="none" w:sz="0" w:space="0" w:color="auto"/>
      </w:divBdr>
    </w:div>
    <w:div w:id="548684459">
      <w:bodyDiv w:val="1"/>
      <w:marLeft w:val="0"/>
      <w:marRight w:val="0"/>
      <w:marTop w:val="0"/>
      <w:marBottom w:val="0"/>
      <w:divBdr>
        <w:top w:val="none" w:sz="0" w:space="0" w:color="auto"/>
        <w:left w:val="none" w:sz="0" w:space="0" w:color="auto"/>
        <w:bottom w:val="none" w:sz="0" w:space="0" w:color="auto"/>
        <w:right w:val="none" w:sz="0" w:space="0" w:color="auto"/>
      </w:divBdr>
    </w:div>
    <w:div w:id="815755179">
      <w:bodyDiv w:val="1"/>
      <w:marLeft w:val="0"/>
      <w:marRight w:val="0"/>
      <w:marTop w:val="0"/>
      <w:marBottom w:val="0"/>
      <w:divBdr>
        <w:top w:val="none" w:sz="0" w:space="0" w:color="auto"/>
        <w:left w:val="none" w:sz="0" w:space="0" w:color="auto"/>
        <w:bottom w:val="none" w:sz="0" w:space="0" w:color="auto"/>
        <w:right w:val="none" w:sz="0" w:space="0" w:color="auto"/>
      </w:divBdr>
    </w:div>
    <w:div w:id="1270238713">
      <w:bodyDiv w:val="1"/>
      <w:marLeft w:val="0"/>
      <w:marRight w:val="0"/>
      <w:marTop w:val="0"/>
      <w:marBottom w:val="0"/>
      <w:divBdr>
        <w:top w:val="none" w:sz="0" w:space="0" w:color="auto"/>
        <w:left w:val="none" w:sz="0" w:space="0" w:color="auto"/>
        <w:bottom w:val="none" w:sz="0" w:space="0" w:color="auto"/>
        <w:right w:val="none" w:sz="0" w:space="0" w:color="auto"/>
      </w:divBdr>
    </w:div>
    <w:div w:id="1633444417">
      <w:bodyDiv w:val="1"/>
      <w:marLeft w:val="0"/>
      <w:marRight w:val="0"/>
      <w:marTop w:val="0"/>
      <w:marBottom w:val="0"/>
      <w:divBdr>
        <w:top w:val="none" w:sz="0" w:space="0" w:color="auto"/>
        <w:left w:val="none" w:sz="0" w:space="0" w:color="auto"/>
        <w:bottom w:val="none" w:sz="0" w:space="0" w:color="auto"/>
        <w:right w:val="none" w:sz="0" w:space="0" w:color="auto"/>
      </w:divBdr>
    </w:div>
    <w:div w:id="1969433429">
      <w:bodyDiv w:val="1"/>
      <w:marLeft w:val="0"/>
      <w:marRight w:val="0"/>
      <w:marTop w:val="0"/>
      <w:marBottom w:val="0"/>
      <w:divBdr>
        <w:top w:val="none" w:sz="0" w:space="0" w:color="auto"/>
        <w:left w:val="none" w:sz="0" w:space="0" w:color="auto"/>
        <w:bottom w:val="none" w:sz="0" w:space="0" w:color="auto"/>
        <w:right w:val="none" w:sz="0" w:space="0" w:color="auto"/>
      </w:divBdr>
    </w:div>
    <w:div w:id="2046903381">
      <w:bodyDiv w:val="1"/>
      <w:marLeft w:val="0"/>
      <w:marRight w:val="0"/>
      <w:marTop w:val="0"/>
      <w:marBottom w:val="0"/>
      <w:divBdr>
        <w:top w:val="none" w:sz="0" w:space="0" w:color="auto"/>
        <w:left w:val="none" w:sz="0" w:space="0" w:color="auto"/>
        <w:bottom w:val="none" w:sz="0" w:space="0" w:color="auto"/>
        <w:right w:val="none" w:sz="0" w:space="0" w:color="auto"/>
      </w:divBdr>
    </w:div>
    <w:div w:id="211677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E605E41-8490-4FCB-854B-5894A593A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F2FF295-C1E5-43F8-844D-C6ADEE2D7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4</Pages>
  <Words>1713</Words>
  <Characters>9082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10774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59</cp:revision>
  <cp:lastPrinted>2008-01-31T07:09:00Z</cp:lastPrinted>
  <dcterms:created xsi:type="dcterms:W3CDTF">2021-03-29T19:07:00Z</dcterms:created>
  <dcterms:modified xsi:type="dcterms:W3CDTF">2021-04-01T20:49:00Z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